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30"/>
        <w:tblGridChange w:id="0">
          <w:tblGrid>
            <w:gridCol w:w="2115"/>
            <w:gridCol w:w="69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Attention-rollout style tracking of information flow across layers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family of attribution methods that treat a Transformer as a directed acyclic graph over layers and recursively multiply attention matrices (and residual paths) to approximate how information from input tokens flows through all layers to a final representation, via techniques like attention rollout and attention flow.</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Layer Interaction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explicitly modeled inter-layer information propagation rather than looking at single-layer attention maps, giving a concrete recipe for reasoning about how layers jointly mix token information—exactly the kind of cross-layer perspective that underlies later, more sophisticated analyses of layer interaction in large LMs.</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960"/>
        <w:tblGridChange w:id="0">
          <w:tblGrid>
            <w:gridCol w:w="2085"/>
            <w:gridCol w:w="69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Norm-based context-mixing analysis of attention outputs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norm-centric analysis framework that interprets attention outputs using both attention weights and the norms of transformed value vectors, showing that token influence depends on the interaction of these factors and revealing non‑obvious mixing patterns in BERT and Transformer NMT systems.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Layer Interaction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reframing token influence as the result of interactions between weights and value norms across layers, this work gave a more faithful measurement of how context is mixed layer by layer, seeding later approaches that study how different layers interact to propagate or suppress information in the residual stream.</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975"/>
        <w:tblGridChange w:id="0">
          <w:tblGrid>
            <w:gridCol w:w="207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Decomposition of attention blocks into mixing vs preserving effects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decomposition method that extends norm-based analysis from pure attention to the entire attention block—multi-head attention, residual connections, and layer normalization—quantifying how much each component mixes contextual information versus preserves the original token representation in masked LMs like BERT.</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Layer Interaction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showed that layer behavior emerges from the </w:t>
            </w:r>
            <w:r w:rsidDel="00000000" w:rsidR="00000000" w:rsidRPr="00000000">
              <w:rPr>
                <w:rFonts w:ascii="Times New Roman" w:cs="Times New Roman" w:eastAsia="Times New Roman" w:hAnsi="Times New Roman"/>
                <w:i w:val="1"/>
                <w:iCs w:val="1"/>
                <w:sz w:val="24"/>
                <w:szCs w:val="24"/>
                <w:rtl w:val="0"/>
              </w:rPr>
              <w:t xml:space="preserve">interaction</w:t>
            </w:r>
            <w:r w:rsidDel="00000000" w:rsidR="00000000" w:rsidRPr="00000000">
              <w:rPr>
                <w:rFonts w:ascii="Times New Roman" w:cs="Times New Roman" w:eastAsia="Times New Roman" w:hAnsi="Times New Roman"/>
                <w:sz w:val="24"/>
                <w:szCs w:val="24"/>
                <w:rtl w:val="0"/>
              </w:rPr>
              <w:t xml:space="preserve"> of attention, residual, and normalization rather than attention alone, and provided explicit metrics for how these subcomponents jointly control context mixing, directly anticipating later work that treats layer interaction as a balance of mixing and preservation across the stack.</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975"/>
        <w:tblGridChange w:id="0">
          <w:tblGrid>
            <w:gridCol w:w="207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Layer-wise token interaction DAGs for contextual mixing</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An attribution framework (ALTI) that defines token-to-token interaction matrices at each layer by incorporating attention, residuals, and layer norm, then multiplies these matrices across layers to obtain global contribution scores that describe how input tokens influence final representations.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Layer Interaction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ALTI operationalized layer interaction as a composed, multi-layer graph of token influences, making it possible to quantify how interactions accumulate across layers rather than inspecting them in isolation—precisely the style of analysis that modern “layer interaction” studies generalize and refine for large transformers.</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990"/>
        <w:tblGridChange w:id="0">
          <w:tblGrid>
            <w:gridCol w:w="2055"/>
            <w:gridCol w:w="69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encoder-layer token attribution aggregating all components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global token attribution method that aggregates the effects of all encoder components (attention, residual, layer norms, etc.) across </w:t>
            </w:r>
            <w:r w:rsidDel="00000000" w:rsidR="00000000" w:rsidRPr="00000000">
              <w:rPr>
                <w:rFonts w:ascii="Times New Roman" w:cs="Times New Roman" w:eastAsia="Times New Roman" w:hAnsi="Times New Roman"/>
                <w:i w:val="1"/>
                <w:iCs w:val="1"/>
                <w:sz w:val="24"/>
                <w:szCs w:val="24"/>
                <w:rtl w:val="0"/>
              </w:rPr>
              <w:t xml:space="preserve">all</w:t>
            </w:r>
            <w:r w:rsidDel="00000000" w:rsidR="00000000" w:rsidRPr="00000000">
              <w:rPr>
                <w:rFonts w:ascii="Times New Roman" w:cs="Times New Roman" w:eastAsia="Times New Roman" w:hAnsi="Times New Roman"/>
                <w:sz w:val="24"/>
                <w:szCs w:val="24"/>
                <w:rtl w:val="0"/>
              </w:rPr>
              <w:t xml:space="preserve"> layers to estimate each input token’s contribution to the final prediction, showing that incorporating every part of the encoder block yields more faithful explanations than attention-based views alone.</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Layer Interaction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explicitly tying together contributions from every encoder layer and component into a single global attribution, this work turned layer interaction into a measurable object—how layers cooperate over depth to produce decisions—providing a direct methodological template for later analyses of inter-layer dynamics in large language models.</w:t>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