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global–local attention for long documents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family of Transformer variants that swapped full self‑attention for sliding‑window attention plus a small set of global/random connections, as in Longformer and BigBird, allowing processing of sequences in the thousands of tokens with near‑linear complexity while achieving strong results on long‑document QA and summarization benchmarks.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provided a concrete architectural recipe for </w:t>
            </w:r>
            <w:r w:rsidDel="00000000" w:rsidR="00000000" w:rsidRPr="00000000">
              <w:rPr>
                <w:rFonts w:ascii="Times New Roman" w:cs="Times New Roman" w:eastAsia="Times New Roman" w:hAnsi="Times New Roman"/>
                <w:i w:val="1"/>
                <w:iCs w:val="1"/>
                <w:sz w:val="24"/>
                <w:szCs w:val="24"/>
                <w:rtl w:val="0"/>
              </w:rPr>
              <w:t xml:space="preserve">actually fitting</w:t>
            </w:r>
            <w:r w:rsidDel="00000000" w:rsidR="00000000" w:rsidRPr="00000000">
              <w:rPr>
                <w:rFonts w:ascii="Times New Roman" w:cs="Times New Roman" w:eastAsia="Times New Roman" w:hAnsi="Times New Roman"/>
                <w:sz w:val="24"/>
                <w:szCs w:val="24"/>
                <w:rtl w:val="0"/>
              </w:rPr>
              <w:t xml:space="preserve"> long contexts into a model, so multi‑hop QA and long‑document reasoning could be done without brutal truncation or chunking heuristics—anticipating later long‑context LMs where long reasoning chains depend on having the whole problem, history, and intermediate steps in a single context window.</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transformers with chunk-wise cross-attention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Retrieval‑enhanced architectures such as RETRO trained language models to retrieve nearest‑neighbor chunks from a massive corpus and fuse them via chunk‑wise cross‑attention, effectively letting the model condition on far more text than fits in its native positional window while matching or surpassing GPT‑3‑scale models with fewer parameters.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turning long-range information into an explicit retrieved context that the model can repeatedly attend over, it offered a practical solution for reasoning over information that is </w:t>
            </w:r>
            <w:r w:rsidDel="00000000" w:rsidR="00000000" w:rsidRPr="00000000">
              <w:rPr>
                <w:rFonts w:ascii="Times New Roman" w:cs="Times New Roman" w:eastAsia="Times New Roman" w:hAnsi="Times New Roman"/>
                <w:i w:val="1"/>
                <w:iCs w:val="1"/>
                <w:sz w:val="24"/>
                <w:szCs w:val="24"/>
                <w:rtl w:val="0"/>
              </w:rPr>
              <w:t xml:space="preserve">logically</w:t>
            </w:r>
            <w:r w:rsidDel="00000000" w:rsidR="00000000" w:rsidRPr="00000000">
              <w:rPr>
                <w:rFonts w:ascii="Times New Roman" w:cs="Times New Roman" w:eastAsia="Times New Roman" w:hAnsi="Times New Roman"/>
                <w:sz w:val="24"/>
                <w:szCs w:val="24"/>
                <w:rtl w:val="0"/>
              </w:rPr>
              <w:t xml:space="preserve"> part of the context but </w:t>
            </w:r>
            <w:r w:rsidDel="00000000" w:rsidR="00000000" w:rsidRPr="00000000">
              <w:rPr>
                <w:rFonts w:ascii="Times New Roman" w:cs="Times New Roman" w:eastAsia="Times New Roman" w:hAnsi="Times New Roman"/>
                <w:i w:val="1"/>
                <w:iCs w:val="1"/>
                <w:sz w:val="24"/>
                <w:szCs w:val="24"/>
                <w:rtl w:val="0"/>
              </w:rPr>
              <w:t xml:space="preserve">physically</w:t>
            </w:r>
            <w:r w:rsidDel="00000000" w:rsidR="00000000" w:rsidRPr="00000000">
              <w:rPr>
                <w:rFonts w:ascii="Times New Roman" w:cs="Times New Roman" w:eastAsia="Times New Roman" w:hAnsi="Times New Roman"/>
                <w:sz w:val="24"/>
                <w:szCs w:val="24"/>
                <w:rtl w:val="0"/>
              </w:rPr>
              <w:t xml:space="preserve"> too large—an idea that underlies many modern long‑context/long‑reasoning setups that interleave retrieval with multi‑step reasoning.</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kNN memory for ultra-long dependency tracking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Memorizing Transformers attached a non‑differentiable kNN memory of past key–value pairs to a Transformer, using a learned gate to mix standard local attention with memory lookups, and showed steady language‑modeling gains as memory grew, supporting effective contexts of hundreds of thousands of tokens across diverse domains.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demonstrated that a model can </w:t>
            </w:r>
            <w:r w:rsidDel="00000000" w:rsidR="00000000" w:rsidRPr="00000000">
              <w:rPr>
                <w:rFonts w:ascii="Times New Roman" w:cs="Times New Roman" w:eastAsia="Times New Roman" w:hAnsi="Times New Roman"/>
                <w:i w:val="1"/>
                <w:iCs w:val="1"/>
                <w:sz w:val="24"/>
                <w:szCs w:val="24"/>
                <w:rtl w:val="0"/>
              </w:rPr>
              <w:t xml:space="preserve">remember and reuse</w:t>
            </w:r>
            <w:r w:rsidDel="00000000" w:rsidR="00000000" w:rsidRPr="00000000">
              <w:rPr>
                <w:rFonts w:ascii="Times New Roman" w:cs="Times New Roman" w:eastAsia="Times New Roman" w:hAnsi="Times New Roman"/>
                <w:sz w:val="24"/>
                <w:szCs w:val="24"/>
                <w:rtl w:val="0"/>
              </w:rPr>
              <w:t xml:space="preserve"> very distant information at inference time without retraining, via an external memory that the model queries as needed—foreshadowing long‑reasoning systems where extended chains of thought rely on recalling earlier parts of the interaction or document far beyond the base context window.</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state-space sequence layers for deep long-range modeling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Structured state‑space models (S4) introduced a sequence layer based on carefully parameterized linear state‑space systems, computed via fast convolutions, that achieved state‑of‑the‑art results on Long Range Arena tasks and handled sequences up to 16k steps while remaining computationally efficient.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 showed that you can build deep networks whose </w:t>
            </w:r>
            <w:r w:rsidDel="00000000" w:rsidR="00000000" w:rsidRPr="00000000">
              <w:rPr>
                <w:rFonts w:ascii="Times New Roman" w:cs="Times New Roman" w:eastAsia="Times New Roman" w:hAnsi="Times New Roman"/>
                <w:i w:val="1"/>
                <w:iCs w:val="1"/>
                <w:sz w:val="24"/>
                <w:szCs w:val="24"/>
                <w:rtl w:val="0"/>
              </w:rPr>
              <w:t xml:space="preserve">native inductive bias</w:t>
            </w:r>
            <w:r w:rsidDel="00000000" w:rsidR="00000000" w:rsidRPr="00000000">
              <w:rPr>
                <w:rFonts w:ascii="Times New Roman" w:cs="Times New Roman" w:eastAsia="Times New Roman" w:hAnsi="Times New Roman"/>
                <w:sz w:val="24"/>
                <w:szCs w:val="24"/>
                <w:rtl w:val="0"/>
              </w:rPr>
              <w:t xml:space="preserve"> is to carry information stably over tens of thousands of steps, rather than fighting attention’s quadratic cost—providing a principled alternative backbone for long‑context transformers and hybrid models that aim to support very long reasoning trajectories.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Scratchpad-style intermediate computation traces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Scratchpad training asked language models to emit explicit intermediate computation steps (“show your work”) on tasks like multi‑digit arithmetic and program execution, revealing that the same model that fails in a one‑shot format can solve much harder problems when allowed to generate long internal traces of reasoning.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long reasoning as “produce a long sequence of intermediate states you can read and condition on,” implicitly treating the model’s own output as an evolving long context; this provided an early concrete mechanism for using extended token sequences as a reasoning workspace, which later long‑context LMs generalized to more open‑ended tasks.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Chain-of-thought and decomposed prompting for extended reasoning chains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Prompting strategies such as chain‑of‑thought prompting and least‑to‑most prompting led LMs to generate detailed, multi‑step natural‑language rationales or decompositions before giving an answer, dramatically improving performance on arithmetic, logic, and compositional reasoning tasks compared to direct “answer‑only” prompting.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treated long reasoning as </w:t>
            </w:r>
            <w:r w:rsidDel="00000000" w:rsidR="00000000" w:rsidRPr="00000000">
              <w:rPr>
                <w:rFonts w:ascii="Times New Roman" w:cs="Times New Roman" w:eastAsia="Times New Roman" w:hAnsi="Times New Roman"/>
                <w:i w:val="1"/>
                <w:iCs w:val="1"/>
                <w:sz w:val="24"/>
                <w:szCs w:val="24"/>
                <w:rtl w:val="0"/>
              </w:rPr>
              <w:t xml:space="preserve">explicitly unfolding</w:t>
            </w:r>
            <w:r w:rsidDel="00000000" w:rsidR="00000000" w:rsidRPr="00000000">
              <w:rPr>
                <w:rFonts w:ascii="Times New Roman" w:cs="Times New Roman" w:eastAsia="Times New Roman" w:hAnsi="Times New Roman"/>
                <w:sz w:val="24"/>
                <w:szCs w:val="24"/>
                <w:rtl w:val="0"/>
              </w:rPr>
              <w:t xml:space="preserve"> over many tokens in the context, showing that performance scales with the length and structure of the reasoning trace—an insight that later work combined with long‑context architectures, where models leverage large windows to maintain, refine, and reference long chains of thought over thousands of tokens.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