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6060"/>
        <w:tblGridChange w:id="0">
          <w:tblGrid>
            <w:gridCol w:w="2985"/>
            <w:gridCol w:w="60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Cross-layer attention-flow tracing for token influences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post‑hoc analysis method that introduced </w:t>
            </w:r>
            <w:r w:rsidDel="00000000" w:rsidR="00000000" w:rsidRPr="00000000">
              <w:rPr>
                <w:rFonts w:ascii="Times New Roman" w:cs="Times New Roman" w:eastAsia="Times New Roman" w:hAnsi="Times New Roman"/>
                <w:i w:val="1"/>
                <w:iCs w:val="1"/>
                <w:sz w:val="24"/>
                <w:szCs w:val="24"/>
                <w:rtl w:val="0"/>
              </w:rPr>
              <w:t xml:space="preserve">attention rollout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attention flow</w:t>
            </w:r>
            <w:r w:rsidDel="00000000" w:rsidR="00000000" w:rsidRPr="00000000">
              <w:rPr>
                <w:rFonts w:ascii="Times New Roman" w:cs="Times New Roman" w:eastAsia="Times New Roman" w:hAnsi="Times New Roman"/>
                <w:sz w:val="24"/>
                <w:szCs w:val="24"/>
                <w:rtl w:val="0"/>
              </w:rPr>
              <w:t xml:space="preserve">: recursively multiplying attention matrices across layers to approximate how information from each input token flows through a Transformer and influences later representations, going beyond raw attention maps.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gave a concrete algorithm for tracing which distant tokens affect a prediction across many layers, making it possible to study how long-range context is actually used inside the model, not just whether it exists—an essential building block for mechanistic analyses of long-context behavior.</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940"/>
        <w:tblGridChange w:id="0">
          <w:tblGrid>
            <w:gridCol w:w="3105"/>
            <w:gridCol w:w="59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Causal mediation analysis of neurons and attention heads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methodology that treats internal components (neurons, attention heads, or whole layers) as mediators in a causal graph and estimates how much each one </w:t>
            </w:r>
            <w:r w:rsidDel="00000000" w:rsidR="00000000" w:rsidRPr="00000000">
              <w:rPr>
                <w:rFonts w:ascii="Times New Roman" w:cs="Times New Roman" w:eastAsia="Times New Roman" w:hAnsi="Times New Roman"/>
                <w:i w:val="1"/>
                <w:iCs w:val="1"/>
                <w:sz w:val="24"/>
                <w:szCs w:val="24"/>
                <w:rtl w:val="0"/>
              </w:rPr>
              <w:t xml:space="preserve">causally</w:t>
            </w:r>
            <w:r w:rsidDel="00000000" w:rsidR="00000000" w:rsidRPr="00000000">
              <w:rPr>
                <w:rFonts w:ascii="Times New Roman" w:cs="Times New Roman" w:eastAsia="Times New Roman" w:hAnsi="Times New Roman"/>
                <w:sz w:val="24"/>
                <w:szCs w:val="24"/>
                <w:rtl w:val="0"/>
              </w:rPr>
              <w:t xml:space="preserve"> contributes to a behavior, demonstrated on gender bias in GPT‑style language models.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separating </w:t>
            </w:r>
            <w:r w:rsidDel="00000000" w:rsidR="00000000" w:rsidRPr="00000000">
              <w:rPr>
                <w:rFonts w:ascii="Times New Roman" w:cs="Times New Roman" w:eastAsia="Times New Roman" w:hAnsi="Times New Roman"/>
                <w:i w:val="1"/>
                <w:iCs w:val="1"/>
                <w:sz w:val="24"/>
                <w:szCs w:val="24"/>
                <w:rtl w:val="0"/>
              </w:rPr>
              <w:t xml:space="preserve">where information is encoded</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i w:val="1"/>
                <w:iCs w:val="1"/>
                <w:sz w:val="24"/>
                <w:szCs w:val="24"/>
                <w:rtl w:val="0"/>
              </w:rPr>
              <w:t xml:space="preserve">which components actually mediate the effect of context on outputs</w:t>
            </w:r>
            <w:r w:rsidDel="00000000" w:rsidR="00000000" w:rsidRPr="00000000">
              <w:rPr>
                <w:rFonts w:ascii="Times New Roman" w:cs="Times New Roman" w:eastAsia="Times New Roman" w:hAnsi="Times New Roman"/>
                <w:sz w:val="24"/>
                <w:szCs w:val="24"/>
                <w:rtl w:val="0"/>
              </w:rPr>
              <w:t xml:space="preserve">, it provided a reusable causal toolkit that can, in principle, be applied to long-context setups to pinpoint which parts of the network implement long-range dependencies.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Layer-wise contextual mixing metrics over the full attention block</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attribution framework that defines token‑to‑token interaction matrices per layer—combining multi‑head attention, residual connections, and layer normalization—and aggregates them across depth (ALTI) to measure how contextual information is mixed and to derive input attributions for Transformer predictions.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explicitly quantifies how information from different positions propagates and mixes across all layers, giving a principled way to track how long-range context shapes final representations—exactly the sort of structured, layer‑aware view needed for mechanistic interpretability of long-context models.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285"/>
        <w:tblGridChange w:id="0">
          <w:tblGrid>
            <w:gridCol w:w="2760"/>
            <w:gridCol w:w="62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encoder token attribution via whole-layer aggregation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global token attribution method (GlobEnc) that incorporates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encoder components (including the second layer norm) and uses a modified attention‑rollout plus norm-based analysis to aggregate contributions across layers, yielding faithful global importance scores for each input token in Transformer encoders.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turning “which tokens mattered?” into a well-defined global score that accounts for every encoder layer, it offered a scalable way to see which parts of a long input sequence truly drive predictions—an important step toward mechanistically understanding how long-context models distribute and accumulate influence over thousands of tokens.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405"/>
        <w:tblGridChange w:id="0">
          <w:tblGrid>
            <w:gridCol w:w="2640"/>
            <w:gridCol w:w="64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Induction-head circuit analysis for in-context sequence copying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A mechanistic study that identified “induction heads”—attention heads implementing the [A][B]…[A]→[B] algorithm—and provided six lines of evidence that these circuits are the main mechanism behind in‑context learning in Transformers, including training‑dynamics analysis and targeted ablations across model scales.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showed, in detail, how specific attention circuits implement long-range copy and pattern‑matching over sequences, giving a concrete example of a long-context algorithm realized inside a Transformer; this circuit-level template is now central to mechanistic work that tries to reverse‑engineer how long-context models perform extended reasoning and retrieval.</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Context-length probing for black-box long-range dependency explanation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explanation technique (context length probing) for causal language models that tracks how predictions change as you vary the available context length and uses these trajectories to assign differential importance scores to different parts of the context, with a particular focus on discovering long-range dependencies.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Towards Mechanistical Interpretability for Long Context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without inspecting internals, it offered a systematic way to quantify how much each stretch of a long context matters for a prediction, giving researchers a behavioral “front end” for studying long-range effects that can be paired with mechanistic tools to localize which circuits implement those effects inside long-context models.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