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780"/>
        <w:tblGridChange w:id="0">
          <w:tblGrid>
            <w:gridCol w:w="2265"/>
            <w:gridCol w:w="67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Class‑conditioned PLM data augmentation for text classifiers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Pre‑trained Transformers (GPT‑2, BERT, BART) were used as conditional generators to create synthetic training examples: the class label is prepended to a seed text, and the LM generates more in‑class samples, which are then mixed with real data to train classifiers, improving low‑resource performance.</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Synthetic Data via Distillation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showed that a stronger generative model can be treated as a </w:t>
            </w:r>
            <w:r w:rsidDel="00000000" w:rsidR="00000000" w:rsidRPr="00000000">
              <w:rPr>
                <w:rFonts w:ascii="Times New Roman" w:cs="Times New Roman" w:eastAsia="Times New Roman" w:hAnsi="Times New Roman"/>
                <w:i w:val="1"/>
                <w:iCs w:val="1"/>
                <w:sz w:val="24"/>
                <w:szCs w:val="24"/>
                <w:rtl w:val="0"/>
              </w:rPr>
              <w:t xml:space="preserve">data factory</w:t>
            </w:r>
            <w:r w:rsidDel="00000000" w:rsidR="00000000" w:rsidRPr="00000000">
              <w:rPr>
                <w:rFonts w:ascii="Times New Roman" w:cs="Times New Roman" w:eastAsia="Times New Roman" w:hAnsi="Times New Roman"/>
                <w:sz w:val="24"/>
                <w:szCs w:val="24"/>
                <w:rtl w:val="0"/>
              </w:rPr>
              <w:t xml:space="preserve"> for a smaller discriminative model, with label‑conditioned synthetic samples effectively distilling task information into a student—anticipating today’s pipelines where teachers generate entire synthetic corpora for downstream distillation.</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Zero‑label language learning via unsupervised data generation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Unsupervised Data Generation (UDG) uses few‑shot prompts to make a large LM synthesize fully labeled datasets (input + label) for downstream tasks, then trains task‑specific models </w:t>
            </w:r>
            <w:r w:rsidDel="00000000" w:rsidR="00000000" w:rsidRPr="00000000">
              <w:rPr>
                <w:rFonts w:ascii="Times New Roman" w:cs="Times New Roman" w:eastAsia="Times New Roman" w:hAnsi="Times New Roman"/>
                <w:i w:val="1"/>
                <w:iCs w:val="1"/>
                <w:sz w:val="24"/>
                <w:szCs w:val="24"/>
                <w:rtl w:val="0"/>
              </w:rPr>
              <w:t xml:space="preserve">solely</w:t>
            </w:r>
            <w:r w:rsidDel="00000000" w:rsidR="00000000" w:rsidRPr="00000000">
              <w:rPr>
                <w:rFonts w:ascii="Times New Roman" w:cs="Times New Roman" w:eastAsia="Times New Roman" w:hAnsi="Times New Roman"/>
                <w:sz w:val="24"/>
                <w:szCs w:val="24"/>
                <w:rtl w:val="0"/>
              </w:rPr>
              <w:t xml:space="preserve"> on this synthetic data, achieving competitive or better performance than models trained on human labels on benchmarks like SuperGLUE.</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Synthetic Data via Distillation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Cardo" w:cs="Cardo" w:eastAsia="Cardo" w:hAnsi="Cardo"/>
                <w:sz w:val="24"/>
                <w:szCs w:val="24"/>
                <w:rtl w:val="0"/>
              </w:rPr>
              <w:t xml:space="preserve">This was an explicit “teacher LM → synthetic labeled corpus → student model” pipeline, proving that a student can be trained almost entirely from teacher‑generated data—essentially a data‑level distillation recipe that foreshadowed modern synthetic‑data‑via‑distillation for LLMs.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795"/>
        <w:tblGridChange w:id="0">
          <w:tblGrid>
            <w:gridCol w:w="2250"/>
            <w:gridCol w:w="67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Generate–annotate–learn synthetic text for KD and self‑training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GAL framework uses generative LMs to synthesize in‑domain </w:t>
            </w:r>
            <w:r w:rsidDel="00000000" w:rsidR="00000000" w:rsidRPr="00000000">
              <w:rPr>
                <w:rFonts w:ascii="Times New Roman" w:cs="Times New Roman" w:eastAsia="Times New Roman" w:hAnsi="Times New Roman"/>
                <w:i w:val="1"/>
                <w:iCs w:val="1"/>
                <w:sz w:val="24"/>
                <w:szCs w:val="24"/>
                <w:rtl w:val="0"/>
              </w:rPr>
              <w:t xml:space="preserve">unlabeled</w:t>
            </w:r>
            <w:r w:rsidDel="00000000" w:rsidR="00000000" w:rsidRPr="00000000">
              <w:rPr>
                <w:rFonts w:ascii="Times New Roman" w:cs="Times New Roman" w:eastAsia="Times New Roman" w:hAnsi="Times New Roman"/>
                <w:sz w:val="24"/>
                <w:szCs w:val="24"/>
                <w:rtl w:val="0"/>
              </w:rPr>
              <w:t xml:space="preserve"> text, then applies the strongest available classifier to annotate this text with soft labels, and finally trains new models on the mixture of real and pseudo‑labeled data, yielding state‑of‑the‑art distillation results for compact Transformers on GLUE.</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Synthetic Data via Distillation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GAL directly combined synthetic text generation with knowledge distillation: teacher models both </w:t>
            </w:r>
            <w:r w:rsidDel="00000000" w:rsidR="00000000" w:rsidRPr="00000000">
              <w:rPr>
                <w:rFonts w:ascii="Times New Roman" w:cs="Times New Roman" w:eastAsia="Times New Roman" w:hAnsi="Times New Roman"/>
                <w:i w:val="1"/>
                <w:iCs w:val="1"/>
                <w:sz w:val="24"/>
                <w:szCs w:val="24"/>
                <w:rtl w:val="0"/>
              </w:rPr>
              <w:t xml:space="preserve">create</w:t>
            </w:r>
            <w:r w:rsidDel="00000000" w:rsidR="00000000" w:rsidRPr="00000000">
              <w:rPr>
                <w:rFonts w:ascii="Times New Roman" w:cs="Times New Roman" w:eastAsia="Times New Roman" w:hAnsi="Times New Roman"/>
                <w:sz w:val="24"/>
                <w:szCs w:val="24"/>
                <w:rtl w:val="0"/>
              </w:rPr>
              <w:t xml:space="preserve"> inputs and </w:t>
            </w:r>
            <w:r w:rsidDel="00000000" w:rsidR="00000000" w:rsidRPr="00000000">
              <w:rPr>
                <w:rFonts w:ascii="Times New Roman" w:cs="Times New Roman" w:eastAsia="Times New Roman" w:hAnsi="Times New Roman"/>
                <w:i w:val="1"/>
                <w:iCs w:val="1"/>
                <w:sz w:val="24"/>
                <w:szCs w:val="24"/>
                <w:rtl w:val="0"/>
              </w:rPr>
              <w:t xml:space="preserve">provide</w:t>
            </w:r>
            <w:r w:rsidDel="00000000" w:rsidR="00000000" w:rsidRPr="00000000">
              <w:rPr>
                <w:rFonts w:ascii="Times New Roman" w:cs="Times New Roman" w:eastAsia="Times New Roman" w:hAnsi="Times New Roman"/>
                <w:sz w:val="24"/>
                <w:szCs w:val="24"/>
                <w:rtl w:val="0"/>
              </w:rPr>
              <w:t xml:space="preserve"> labels, and students learn from this synthetic pool—essentially the core pattern of today’s synthetic‑data distillation pipelines, just at smaller scales.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70"/>
        <w:tblGridChange w:id="0">
          <w:tblGrid>
            <w:gridCol w:w="2175"/>
            <w:gridCol w:w="68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LM‑generated training corpora for zero‑shot NLU</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For zero‑shot NLU, a unidirectional LM (e.g., GPT) is prompted to generate class‑conditioned texts, then a bidirectional model (e.g., BERT) is fine‑tuned </w:t>
            </w:r>
            <w:r w:rsidDel="00000000" w:rsidR="00000000" w:rsidRPr="00000000">
              <w:rPr>
                <w:rFonts w:ascii="Times New Roman" w:cs="Times New Roman" w:eastAsia="Times New Roman" w:hAnsi="Times New Roman"/>
                <w:i w:val="1"/>
                <w:iCs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on these generated examples, with sample selection based on generation probability and regularization like label smoothing and temporal ensembling.</w:t>
            </w:r>
            <w:r w:rsidDel="00000000" w:rsidR="00000000" w:rsidRPr="00000000">
              <w:rPr>
                <w:rtl w:val="0"/>
              </w:rPr>
            </w:r>
          </w:p>
        </w:tc>
      </w:tr>
      <w:tr>
        <w:trPr>
          <w:cantSplit w:val="0"/>
          <w:trHeight w:val="15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Synthetic Data via Distillation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crystallized a clear teacher–student pattern: a generator LM writes the dataset, and a separate NLU model distills that knowledge from synthetic data alone, showing that carefully filtered teacher‑generated corpora can substitute for human datasets in distillation.</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705"/>
        <w:tblGridChange w:id="0">
          <w:tblGrid>
            <w:gridCol w:w="2340"/>
            <w:gridCol w:w="67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“LMs as data” for zero‑shot dialog and intent modeling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LAD (Language Models as Data) uses a generative LM to synthesize user utterances for each dialog intent, then trains downstream intent classifiers or dialog models on the synthetic conversations, achieving large gains over zero‑shot baselines when only a tiny human seed per intent is available.</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Synthetic Data via Distillation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treated the LM as a reusable </w:t>
            </w:r>
            <w:r w:rsidDel="00000000" w:rsidR="00000000" w:rsidRPr="00000000">
              <w:rPr>
                <w:rFonts w:ascii="Times New Roman" w:cs="Times New Roman" w:eastAsia="Times New Roman" w:hAnsi="Times New Roman"/>
                <w:i w:val="1"/>
                <w:iCs w:val="1"/>
                <w:sz w:val="24"/>
                <w:szCs w:val="24"/>
                <w:rtl w:val="0"/>
              </w:rPr>
              <w:t xml:space="preserve">data source</w:t>
            </w:r>
            <w:r w:rsidDel="00000000" w:rsidR="00000000" w:rsidRPr="00000000">
              <w:rPr>
                <w:rFonts w:ascii="Times New Roman" w:cs="Times New Roman" w:eastAsia="Times New Roman" w:hAnsi="Times New Roman"/>
                <w:sz w:val="24"/>
                <w:szCs w:val="24"/>
                <w:rtl w:val="0"/>
              </w:rPr>
              <w:t xml:space="preserve"> for new tasks (here, dialog), with students trained on LM‑authored datasets rather than LM logits—an early, domain‑specific instance of distilling capabilities into smaller models via synthetic examples.</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795"/>
        <w:tblGridChange w:id="0">
          <w:tblGrid>
            <w:gridCol w:w="2250"/>
            <w:gridCol w:w="67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Self‑bootstrapped instruction datasets from teacher LMs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Self‑Instruct starts from a small human seed of instructions and uses a strong LM (e.g., GPT‑3) to iteratively generate new instructions, inputs, and outputs, filters them heuristically, and then fine‑tunes the original model on this large synthetic instruction dataset, nearly matching InstructGPT‑style performance.</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Synthetic Data via Distillation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showed that an LM can </w:t>
            </w:r>
            <w:r w:rsidDel="00000000" w:rsidR="00000000" w:rsidRPr="00000000">
              <w:rPr>
                <w:rFonts w:ascii="Times New Roman" w:cs="Times New Roman" w:eastAsia="Times New Roman" w:hAnsi="Times New Roman"/>
                <w:i w:val="1"/>
                <w:iCs w:val="1"/>
                <w:sz w:val="24"/>
                <w:szCs w:val="24"/>
                <w:rtl w:val="0"/>
              </w:rPr>
              <w:t xml:space="preserve">distill itself</w:t>
            </w:r>
            <w:r w:rsidDel="00000000" w:rsidR="00000000" w:rsidRPr="00000000">
              <w:rPr>
                <w:rFonts w:ascii="Times New Roman" w:cs="Times New Roman" w:eastAsia="Times New Roman" w:hAnsi="Times New Roman"/>
                <w:sz w:val="24"/>
                <w:szCs w:val="24"/>
                <w:rtl w:val="0"/>
              </w:rPr>
              <w:t xml:space="preserve"> by generating its own synthetic supervision—turning teacher‑style generations into a massive distillation dataset for the same or smaller models—directly anticipating today’s synthetic instruction and reasoning corpora built via distillation from frontier LLMs.</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