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6765"/>
        <w:tblGridChange w:id="0">
          <w:tblGrid>
            <w:gridCol w:w="2280"/>
            <w:gridCol w:w="676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Exam‑style multi‑subject multiple‑choice testing for LMs</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Starting around 2020, work like MMLU assembled thousands of human‑written exam questions across 50+ subjects into strictly multiple‑choice format, evaluating language models by simple accuracy over answer options rather than task‑specific metrics.</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Closed-ended Evaluations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It offered a clear recipe for scalable, automatic LM evaluation: pose diverse knowledge and reasoning tasks as single‑correct‑option questions and score by accuracy, a blueprint that later closed‑ended evaluation suites reused and expanded rather than relying on fuzzy, open‑ended judgments.</w:t>
            </w:r>
            <w:r w:rsidDel="00000000" w:rsidR="00000000" w:rsidRPr="00000000">
              <w:rPr>
                <w:rtl w:val="0"/>
              </w:rPr>
            </w:r>
          </w:p>
        </w:tc>
      </w:tr>
    </w:tbl>
    <w:p w:rsidR="00000000" w:rsidDel="00000000" w:rsidP="00000000" w:rsidRDefault="00000000" w:rsidRPr="00000000" w14:paraId="0000000A">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6585"/>
        <w:tblGridChange w:id="0">
          <w:tblGrid>
            <w:gridCol w:w="2460"/>
            <w:gridCol w:w="658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Multi‑step numeric‑answer reasoning benchmarks with exact-match grading</w:t>
            </w:r>
          </w:p>
        </w:tc>
      </w:tr>
      <w:tr>
        <w:trPr>
          <w:cantSplit w:val="0"/>
          <w:trHeight w:val="117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GSM8K‑style datasets introduced curated grade‑school math word problems that require several reasoning steps but always end in a short numeric answer, enabling evaluation of complex reasoning by strict exact‑match on the final number.</w:t>
            </w:r>
            <w:r w:rsidDel="00000000" w:rsidR="00000000" w:rsidRPr="00000000">
              <w:rPr>
                <w:rtl w:val="0"/>
              </w:rPr>
            </w:r>
          </w:p>
        </w:tc>
      </w:tr>
      <w:tr>
        <w:trPr>
          <w:cantSplit w:val="0"/>
          <w:trHeight w:val="117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Closed-ended Evaluations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It showed how to design hard reasoning tasks that still admit unambiguous, auto‑gradable outputs, seeding the now‑standard pattern of using math and logic problems with single gold answers as core closed‑ended evaluations of LM reasoning.</w:t>
            </w:r>
            <w:r w:rsidDel="00000000" w:rsidR="00000000" w:rsidRPr="00000000">
              <w:rPr>
                <w:rtl w:val="0"/>
              </w:rPr>
            </w:r>
          </w:p>
        </w:tc>
      </w:tr>
    </w:tbl>
    <w:p w:rsidR="00000000" w:rsidDel="00000000" w:rsidP="00000000" w:rsidRDefault="00000000" w:rsidRPr="00000000" w14:paraId="00000014">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7080"/>
        <w:tblGridChange w:id="0">
          <w:tblGrid>
            <w:gridCol w:w="1965"/>
            <w:gridCol w:w="708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templating and answer canonicalization for multi‑task evaluation</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The PromptSource/P3 and T0 line built tooling and datasets where many NLP tasks are mapped via human‑written templates into </w:t>
            </w:r>
            <w:r w:rsidDel="00000000" w:rsidR="00000000" w:rsidRPr="00000000">
              <w:rPr>
                <w:rFonts w:ascii="Cardo" w:cs="Cardo" w:eastAsia="Cardo" w:hAnsi="Cardo"/>
                <w:i w:val="1"/>
                <w:iCs w:val="1"/>
                <w:sz w:val="24"/>
                <w:szCs w:val="24"/>
                <w:rtl w:val="0"/>
              </w:rPr>
              <w:t xml:space="preserve">input text → target text</w:t>
            </w:r>
            <w:r w:rsidDel="00000000" w:rsidR="00000000" w:rsidRPr="00000000">
              <w:rPr>
                <w:rFonts w:ascii="Times New Roman" w:cs="Times New Roman" w:eastAsia="Times New Roman" w:hAnsi="Times New Roman"/>
                <w:sz w:val="24"/>
                <w:szCs w:val="24"/>
                <w:rtl w:val="0"/>
              </w:rPr>
              <w:t xml:space="preserve"> pairs with canonicalized labels (e.g., “yes/no”, “entailment/contradiction”), so models can be evaluated by exact‑match or simple string comparison across hundreds of tasks.</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Closed-ended Evaluations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It provided a general method to turn heterogeneous NLP problems into uniformly closed‑ended text outputs that are easy to score automatically, a core design pattern behind later large closed‑ended eval suites built from prompted task pools.</w:t>
            </w:r>
            <w:r w:rsidDel="00000000" w:rsidR="00000000" w:rsidRPr="00000000">
              <w:rPr>
                <w:rtl w:val="0"/>
              </w:rPr>
            </w:r>
          </w:p>
        </w:tc>
      </w:tr>
    </w:tbl>
    <w:p w:rsidR="00000000" w:rsidDel="00000000" w:rsidP="00000000" w:rsidRDefault="00000000" w:rsidRPr="00000000" w14:paraId="0000001E">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6885"/>
        <w:tblGridChange w:id="0">
          <w:tblGrid>
            <w:gridCol w:w="2160"/>
            <w:gridCol w:w="688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 collaborative challenge suites emphasizing discrete, automatable metrics</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BIG‑bench‑style efforts aggregated 200+ community‑contributed tasks into a single suite focused on probing frontier LMs, with most tasks designed to have clearly defined correct answers and standardized metrics (accuracy, exact‑match, etc.) so that large‑scale, cross‑model comparisons are straightforward.</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Closed-ended Evaluations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By making “lots of diverse, mostly closed‑ended tasks with unified scoring” the norm for frontier LM evaluation, these suites operationalized closed‑ended testing as the default way to quantify capabilities and scaling, directly foreshadowing today’s closed‑ended eval regimes and leaderboards.</w:t>
            </w:r>
            <w:r w:rsidDel="00000000" w:rsidR="00000000" w:rsidRPr="00000000">
              <w:rPr>
                <w:rtl w:val="0"/>
              </w:rPr>
            </w:r>
          </w:p>
        </w:tc>
      </w:tr>
    </w:tbl>
    <w:p w:rsidR="00000000" w:rsidDel="00000000" w:rsidP="00000000" w:rsidRDefault="00000000" w:rsidRPr="00000000" w14:paraId="00000028">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