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 inverse-RL reward decompositions for neural text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2021, several NLG works framed table-to-text and language-to-program generation as inverse RL problems, defining multiple interpretable reward components (e.g., faithfulness, coverage, fluency, structural correctness) and learning a linear combination of them jointly with the generator policy, instead of optimizing a single metric like BLEU.</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Rewards Shaping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works effectively shaped the reward by decomposing “good text” into aspect-specific subrewards and learning how to weight them, foreshadowing modern reward-shaping pipelines for LLMs where composite reward models balance helpfulness, harmlessness, style, and task success rather than relying on a single scalar objective.</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Semantic-level dense reward shaping for MT via fluency–similarity blends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2022, SURF proposed a semantic-level unsupervised reward for machine translation that combines sentence fluency (LM-based) with sentence-level semantic similarity, yielding a maximally dense reward function that better mimics human evaluation than sparse, reference-only metrics like BLEU and improves RL-trained MT systems.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Rewards Shaping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SURF explicitly treated reward design as engineering a shaped, intrinsic signal—constructed from pretrained models and semantics—to overcome sparsity and lexical bias, anticipating today’s reward-shaping practice where rich internal signals (fluency, semantic match, consistency, etc.) are composed to guide RLHF and RL-style fine-tuning of language models.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 and pretraining-based regularization as implicit reward shaping in RLHF</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InstructGPT RLHF objective in 2022 augmented the reward-model score with a per-token KL penalty to the supervised policy and a pretraining log-likelihood term (PPO-ptx), so the effective RL objective became a shaped combination of human-preference reward, closeness to the SFT model, and retention of pretraining behavior.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Rewards Shaping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Although framed as regularization, this design reshaped the reward landscape so that helpful-but-weird behaviors and overoptimization of the reward model were penalized, prefiguring modern reward-shaping schemes for LLMs that mix base reward, KL terms, normalization, and auxiliary objectives to stabilize training and avoid reward hacking.</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Task-agnostic stepwise rewards induced from teacher-forced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2022, “teacher forcing recovers reward functions for text generation” showed how to derive a dense, step-wise reward function directly from a seq2seq model trained with teacher forcing, then use this induced reward to run RL on non-parallel data for dialogue and paraphrase generation.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Rewards Shaping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turning an MLE-trained LM into a general-purpose shaped reward—without task-specific heuristics—this line of work demonstrated that existing models can be repurposed as reward shapers, anticipating current trends where pretrained LMs or critics are used to automatically construct shaped rewards that densify sparse objectives and guide policy optimization.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Language-based auxiliary-goal reward shaping via QG/QA in language-conditioned RL</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EAGER framework (2022) for language-conditioned RL automatically generates auxiliary language goals via question generation and answers them with a QA module, awarding intrinsic bonuses whenever the agent’s trajectory supports correct answers, effectively densifying sparse extrinsic rewards in instruction-following environments.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Rewards Shaping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EAGER showed that language itself can define shaped rewards—turning goals into families of auxiliary questions whose correctness gives informative intermediate rewards—anticipating later LLM-era reward shaping where natural-language descriptions, rubrics, or critiques are transformed into structured shaping signals for reasoning and generation policies.</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