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Two‑stage “demonstration → RLHF” pipelines for summarization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learning to summarize with human feedback trained summarizers first by supervised fine‑tuning on human TL;DRs, then by RL against a reward model fit to human pairwise preferences over summaries. The paper compared supervised‑only models, pure scaling, and RLHF, finding that RLHF on top of SFT could make a 1.3B model outrun a 12B supervised model on human preference metrics.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SFT Compared with Other Alignment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concretely separated </w:t>
            </w:r>
            <w:r w:rsidDel="00000000" w:rsidR="00000000" w:rsidRPr="00000000">
              <w:rPr>
                <w:rFonts w:ascii="Times New Roman" w:cs="Times New Roman" w:eastAsia="Times New Roman" w:hAnsi="Times New Roman"/>
                <w:i w:val="1"/>
                <w:iCs w:val="1"/>
                <w:sz w:val="24"/>
                <w:szCs w:val="24"/>
                <w:rtl w:val="0"/>
              </w:rPr>
              <w:t xml:space="preserve">SFT as one alignment step</w:t>
            </w:r>
            <w:r w:rsidDel="00000000" w:rsidR="00000000" w:rsidRPr="00000000">
              <w:rPr>
                <w:rFonts w:ascii="Times New Roman" w:cs="Times New Roman" w:eastAsia="Times New Roman" w:hAnsi="Times New Roman"/>
                <w:sz w:val="24"/>
                <w:szCs w:val="24"/>
                <w:rtl w:val="0"/>
              </w:rPr>
              <w:t xml:space="preserve"> (mimic demonstrations) from </w:t>
            </w:r>
            <w:r w:rsidDel="00000000" w:rsidR="00000000" w:rsidRPr="00000000">
              <w:rPr>
                <w:rFonts w:ascii="Times New Roman" w:cs="Times New Roman" w:eastAsia="Times New Roman" w:hAnsi="Times New Roman"/>
                <w:i w:val="1"/>
                <w:iCs w:val="1"/>
                <w:sz w:val="24"/>
                <w:szCs w:val="24"/>
                <w:rtl w:val="0"/>
              </w:rPr>
              <w:t xml:space="preserve">RLHF as another</w:t>
            </w:r>
            <w:r w:rsidDel="00000000" w:rsidR="00000000" w:rsidRPr="00000000">
              <w:rPr>
                <w:rFonts w:ascii="Times New Roman" w:cs="Times New Roman" w:eastAsia="Times New Roman" w:hAnsi="Times New Roman"/>
                <w:sz w:val="24"/>
                <w:szCs w:val="24"/>
                <w:rtl w:val="0"/>
              </w:rPr>
              <w:t xml:space="preserve"> (optimize a learned reward), and empirically compared them. That two‑stage design and the reported deltas between “just SFT” and “SFT + RLHF” is exactly the template later discussions use when asking how far SFT alone gets you versus more complex alignment methods.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230"/>
        <w:tblGridChange w:id="0">
          <w:tblGrid>
            <w:gridCol w:w="1815"/>
            <w:gridCol w:w="72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 cloning plus reward‑model selection for web‑browsing QA</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WebGPT trained GPT‑3 to use a text browser by imitating human browsing transcripts (behavior cloning / SFT), then added a reward model trained on human preferences over answers and used either RL or best‑of‑</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rejection sampling against that reward. Their strongest system combined SFT with reward‑model‑based selection, with RL giving only modest extra gains when inference compute was constrained.</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SFT Compared with Other Alignment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WebGPT offered a clean comparison between </w:t>
            </w:r>
            <w:r w:rsidDel="00000000" w:rsidR="00000000" w:rsidRPr="00000000">
              <w:rPr>
                <w:rFonts w:ascii="Times New Roman" w:cs="Times New Roman" w:eastAsia="Times New Roman" w:hAnsi="Times New Roman"/>
                <w:i w:val="1"/>
                <w:iCs w:val="1"/>
                <w:sz w:val="24"/>
                <w:szCs w:val="24"/>
                <w:rtl w:val="0"/>
              </w:rPr>
              <w:t xml:space="preserve">pure supervised imitation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reward‑guided selection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full RLHF</w:t>
            </w:r>
            <w:r w:rsidDel="00000000" w:rsidR="00000000" w:rsidRPr="00000000">
              <w:rPr>
                <w:rFonts w:ascii="Times New Roman" w:cs="Times New Roman" w:eastAsia="Times New Roman" w:hAnsi="Times New Roman"/>
                <w:sz w:val="24"/>
                <w:szCs w:val="24"/>
                <w:rtl w:val="0"/>
              </w:rPr>
              <w:t xml:space="preserve"> in a realistic setting. The finding that “SFT + offline selection” can rival RLHF foreshadowed today’s interest in SFT‑centric or non‑RL alignment (e.g., best‑of‑</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DPO‑style methods) and made SFT a serious alternative, not just a pre‑RL warm‑up.</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200"/>
        <w:tblGridChange w:id="0">
          <w:tblGrid>
            <w:gridCol w:w="1845"/>
            <w:gridCol w:w="72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SFT as a distinct alignment stage before RLHF</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InstructGPT collected labeler‑written prompts and demonstrations, trained an “SFT model” by supervised fine‑tuning on those prompt–response pairs, and then further optimized that model with RLHF using a reward model trained on human rankings. The paper explicitly compared base GPT‑3, the SFT‑only model, and the RLHF‑tuned model, as well as variants tuned on public instruction datasets like FLAN and T0.</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SFT Compared with Other Alignment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InstructGPT made “SFT vs RLHF vs off‑the‑shelf instruction tuning” an explicit experimental question, showing that SFT on in‑distribution human data already delivers big alignment gains, with RLHF adding a smaller but important margin. That decomposition is now the conceptual backbone of debates and ablations comparing SFT to other alignment methods.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Helpful/harmless dual‑objective RLHF built on supervised dialogue SFT</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Anthropic’s helpful–harmless assistant started from a pretrained LM, performed supervised fine‑tuning on curated helpful and harmless dialogue data, then trained separate reward models for helpfulness and harmlessness and ran RLHF to trade off these objectives under a KL constraint to the SFT policy. The paper analyzed how varying the KL and reward targets changed behavior and robustness.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SFT Compared with Other Alignment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treating the supervised assistant as one alignment baseline and then systematically exploring what RLHF adds (and where it fails, e.g., sycophancy, reward hacking), this work crystallized the idea that SFT is a comparatively stable, cheap alignment method and RLHF is a higher‑variance, more powerful but more delicate overlay — exactly the comparison structure that motivates today’s “SFT vs RLHF vs other alignment” discussions.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90"/>
        <w:tblGridChange w:id="0">
          <w:tblGrid>
            <w:gridCol w:w="205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learning from natural‑language feedback as an RLHF alternative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“Learning from natural language feedback” proposed training language models using free‑form textual critiques and suggested corrections instead of scalar rewards: humans write feedback on model outputs, the system turns that feedback plus revised answers into training examples, and the model is updated by supervised learning on these triples rather than RL against a numeric reward.</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SFT Compared with Other Alignment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 of work showed that rich human feedback can be injected via </w:t>
            </w:r>
            <w:r w:rsidDel="00000000" w:rsidR="00000000" w:rsidRPr="00000000">
              <w:rPr>
                <w:rFonts w:ascii="Times New Roman" w:cs="Times New Roman" w:eastAsia="Times New Roman" w:hAnsi="Times New Roman"/>
                <w:i w:val="1"/>
                <w:iCs w:val="1"/>
                <w:sz w:val="24"/>
                <w:szCs w:val="24"/>
                <w:rtl w:val="0"/>
              </w:rPr>
              <w:t xml:space="preserve">SFT on critiques and fixes</w:t>
            </w:r>
            <w:r w:rsidDel="00000000" w:rsidR="00000000" w:rsidRPr="00000000">
              <w:rPr>
                <w:rFonts w:ascii="Times New Roman" w:cs="Times New Roman" w:eastAsia="Times New Roman" w:hAnsi="Times New Roman"/>
                <w:sz w:val="24"/>
                <w:szCs w:val="24"/>
                <w:rtl w:val="0"/>
              </w:rPr>
              <w:t xml:space="preserve"> instead of reward models and policy gradients, offering a concrete alternative alignment method that competes directly with RLHF. It seeded the now‑active comparison between “alignment via supervised fine‑tuning on high‑quality feedback data” and “alignment via RL on learned rewards.”</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Self‑critiquing constitutional SFT versus RL from AI feedback</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Constitutional‑style training introduced a two‑phase pipeline where a model first generates answers and self‑critiques them using a written “constitution” of principles, then is </w:t>
            </w:r>
            <w:r w:rsidDel="00000000" w:rsidR="00000000" w:rsidRPr="00000000">
              <w:rPr>
                <w:rFonts w:ascii="Times New Roman" w:cs="Times New Roman" w:eastAsia="Times New Roman" w:hAnsi="Times New Roman"/>
                <w:i w:val="1"/>
                <w:iCs w:val="1"/>
                <w:sz w:val="24"/>
                <w:szCs w:val="24"/>
                <w:rtl w:val="0"/>
              </w:rPr>
              <w:t xml:space="preserve">supervised‑fine‑tuned</w:t>
            </w:r>
            <w:r w:rsidDel="00000000" w:rsidR="00000000" w:rsidRPr="00000000">
              <w:rPr>
                <w:rFonts w:ascii="Times New Roman" w:cs="Times New Roman" w:eastAsia="Times New Roman" w:hAnsi="Times New Roman"/>
                <w:sz w:val="24"/>
                <w:szCs w:val="24"/>
                <w:rtl w:val="0"/>
              </w:rPr>
              <w:t xml:space="preserve"> on its revised answers; a second phase uses a preference model trained from AI comparisons to perform RL from AI feedback (RLAIF) for further refinement.</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SFT Compared with Other Alignment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placed supervised fine‑tuning on principled, AI‑generated revisions side‑by‑side with a reward‑model‑and‑RL phase, but crucially </w:t>
            </w:r>
            <w:r w:rsidDel="00000000" w:rsidR="00000000" w:rsidRPr="00000000">
              <w:rPr>
                <w:rFonts w:ascii="Times New Roman" w:cs="Times New Roman" w:eastAsia="Times New Roman" w:hAnsi="Times New Roman"/>
                <w:i w:val="1"/>
                <w:iCs w:val="1"/>
                <w:sz w:val="24"/>
                <w:szCs w:val="24"/>
                <w:rtl w:val="0"/>
              </w:rPr>
              <w:t xml:space="preserve">without</w:t>
            </w:r>
            <w:r w:rsidDel="00000000" w:rsidR="00000000" w:rsidRPr="00000000">
              <w:rPr>
                <w:rFonts w:ascii="Times New Roman" w:cs="Times New Roman" w:eastAsia="Times New Roman" w:hAnsi="Times New Roman"/>
                <w:sz w:val="24"/>
                <w:szCs w:val="24"/>
                <w:rtl w:val="0"/>
              </w:rPr>
              <w:t xml:space="preserve"> new human labels, highlighting both the strengths of SFT (simple, stable, label‑efficient) and the extra expressiveness of RL‑style optimization. This architecture directly anticipates current work that weighs SFT (on human or AI feedback) against RLHF/RLAIF and other alignment methods as interchangeable stages in a shared pipeline.</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