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Pairwise preference modeling with Bradley–Terry style logistic losses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Early RLHF work for summarization, and follow‑ups like book summarization, trained </w:t>
            </w:r>
            <w:r w:rsidDel="00000000" w:rsidR="00000000" w:rsidRPr="00000000">
              <w:rPr>
                <w:rFonts w:ascii="Times New Roman" w:cs="Times New Roman" w:eastAsia="Times New Roman" w:hAnsi="Times New Roman"/>
                <w:i w:val="1"/>
                <w:iCs w:val="1"/>
                <w:sz w:val="24"/>
                <w:szCs w:val="24"/>
                <w:rtl w:val="0"/>
              </w:rPr>
              <w:t xml:space="preserve">reward models</w:t>
            </w:r>
            <w:r w:rsidDel="00000000" w:rsidR="00000000" w:rsidRPr="00000000">
              <w:rPr>
                <w:rFonts w:ascii="Times New Roman" w:cs="Times New Roman" w:eastAsia="Times New Roman" w:hAnsi="Times New Roman"/>
                <w:sz w:val="24"/>
                <w:szCs w:val="24"/>
                <w:rtl w:val="0"/>
              </w:rPr>
              <w:t xml:space="preserve"> directly on human pairwise comparisons of model outputs using a Bradley–Terry / softmax‑over‑pairs cross‑entropy loss, so that “better” summaries got higher predicted preference probability.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DPO’s core objective is essentially a Bradley–Terry logistic loss over policy log‑likelihood ratios instead of over a separate reward model; these early preference‑modeling setups established pairwise logistic losses as the natural way to learn from comparisons, and DPO later reuses the same structure but pushes it directly into the LM training objective.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KL‑regularized RLHF objectives that tie policies to a reference language model</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RLHF pipelines for summarization, recursive book summarization, and InstructGPT optimized policies with PPO under an explicit objective of “maximize expected reward minus β·KL(π‖π_ref)”, where π_ref is a supervised or base LM; this KL term kept the policy close to a reference distribution.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DPO is literally derived by solving this KL‑regularized RLHF objective in closed form under a Bradley–Terry preference model, yielding a supervised‑style loss on log‑probability ratios. These KL‑regularized RLHF formulations created the mathematical starting point that DPO later exploits to remove explicit reinforcement learning and reward modeling.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Reward‑model‑based best‑of‑N and reranking as RL‑free preference alignment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Several RLHF projects (e.g., summarization, WebGPT, GopherCite) showed that you can train a reward model on human preferences and then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use it to rerank or pick the best of many candidate samples, often matching or approaching PPO‑trained policies without ever running RL during 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results hinted that full RL might be unnecessary—that preference information plus clever decoding or reranking can already do much of the alignment job. DPO takes this RL‑free mindset further by replacing both RL and explicit reranking with a single, closed‑form supervised preference‑training loss on the LM itself.</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SFT + preference reward‑model reranking pipelines for group alignment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Consensus‑generation work on political questions fine‑tuned large LMs with supervised learning on high‑quality “consensus” statements, then trained a reward model on pairwise agreement comparisons and used it purely for reranking candidates according to social‑welfare scores—explicitly noting that reranking can rival direct RL optimization of human preferences.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pipeline made </w:t>
            </w:r>
            <w:r w:rsidDel="00000000" w:rsidR="00000000" w:rsidRPr="00000000">
              <w:rPr>
                <w:rFonts w:ascii="Times New Roman" w:cs="Times New Roman" w:eastAsia="Times New Roman" w:hAnsi="Times New Roman"/>
                <w:i w:val="1"/>
                <w:iCs w:val="1"/>
                <w:sz w:val="24"/>
                <w:szCs w:val="24"/>
                <w:rtl w:val="0"/>
              </w:rPr>
              <w:t xml:space="preserve">supervised LM training + preference‑based reweighting</w:t>
            </w:r>
            <w:r w:rsidDel="00000000" w:rsidR="00000000" w:rsidRPr="00000000">
              <w:rPr>
                <w:rFonts w:ascii="Times New Roman" w:cs="Times New Roman" w:eastAsia="Times New Roman" w:hAnsi="Times New Roman"/>
                <w:sz w:val="24"/>
                <w:szCs w:val="24"/>
                <w:rtl w:val="0"/>
              </w:rPr>
              <w:t xml:space="preserve"> a practical alternative to PPO‑style RLHF, thereby crystallizing the idea that alignment can be cast as a supervised problem over preference data. DPO generalizes this idea by baking the preference‑based reweighting into the training loss itself, rather than into a separate reranking stage.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from rich human feedback as an alternative to RLHF</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“Learning from natural language feedback” and related work collected detailed human textual critiques and improved answers, then updated models purely via supervised fine‑tuning on these feedback‑augmented examples—showing that alignment can be driven by supervised objectives over feedback data, not only by reward‑model‑plus‑RL loops.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DPO sits in the same design space: it uses human preference data but optimizes a supervised contrastive objective rather than running PPO. These supervised‑feedback approaches validated that “preference‑style supervision without RL” is viable, making it natural to look for mathematically principled, RL‑free preference objectives—exactly the niche DPO later fills.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