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70"/>
        <w:tblGridChange w:id="0">
          <w:tblGrid>
            <w:gridCol w:w="2475"/>
            <w:gridCol w:w="65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Cloze-style pattern prompts with verbalizers for few-shot tasks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Pattern‑based few-shot methods reformulated classification and NLI examples as </w:t>
            </w:r>
            <w:r w:rsidDel="00000000" w:rsidR="00000000" w:rsidRPr="00000000">
              <w:rPr>
                <w:rFonts w:ascii="Times New Roman" w:cs="Times New Roman" w:eastAsia="Times New Roman" w:hAnsi="Times New Roman"/>
                <w:i w:val="1"/>
                <w:iCs w:val="1"/>
                <w:sz w:val="24"/>
                <w:szCs w:val="24"/>
                <w:rtl w:val="0"/>
              </w:rPr>
              <w:t xml:space="preserve">cloze questions</w:t>
            </w:r>
            <w:r w:rsidDel="00000000" w:rsidR="00000000" w:rsidRPr="00000000">
              <w:rPr>
                <w:rFonts w:ascii="Times New Roman" w:cs="Times New Roman" w:eastAsia="Times New Roman" w:hAnsi="Times New Roman"/>
                <w:sz w:val="24"/>
                <w:szCs w:val="24"/>
                <w:rtl w:val="0"/>
              </w:rPr>
              <w:t xml:space="preserve"> with hand‑designed textual patterns and label words (verbalizers), then fine‑tuned small PLMs on these reformulations and distilled to standard classifiers (e.g., PET and its variants).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Prompt Engineering (In-Context Learning)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of work treated the </w:t>
            </w:r>
            <w:r w:rsidDel="00000000" w:rsidR="00000000" w:rsidRPr="00000000">
              <w:rPr>
                <w:rFonts w:ascii="Times New Roman" w:cs="Times New Roman" w:eastAsia="Times New Roman" w:hAnsi="Times New Roman"/>
                <w:i w:val="1"/>
                <w:iCs w:val="1"/>
                <w:sz w:val="24"/>
                <w:szCs w:val="24"/>
                <w:rtl w:val="0"/>
              </w:rPr>
              <w:t xml:space="preserve">prompt itself</w:t>
            </w:r>
            <w:r w:rsidDel="00000000" w:rsidR="00000000" w:rsidRPr="00000000">
              <w:rPr>
                <w:rFonts w:ascii="Times New Roman" w:cs="Times New Roman" w:eastAsia="Times New Roman" w:hAnsi="Times New Roman"/>
                <w:sz w:val="24"/>
                <w:szCs w:val="24"/>
                <w:rtl w:val="0"/>
              </w:rPr>
              <w:t xml:space="preserve">—task description + label words—as the main object to engineer, showing that carefully chosen patterns can turn generic PLMs into effective few-shot learners, which is exactly the core idea behind later prompt engineering and in‑context learning recipes for large LMs.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Gradient-guided discovery of discrete trigger tokens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Gradient-based trigger search methods optimized short sequences of “trigger” tokens appended to inputs, using gradients through a masked LM to iteratively improve these discrete prompts for factual probing and classification, often yielding bizarre but highly effective prompts.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Prompt Engineering (In-Context Learning)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showing that prompts can be </w:t>
            </w:r>
            <w:r w:rsidDel="00000000" w:rsidR="00000000" w:rsidRPr="00000000">
              <w:rPr>
                <w:rFonts w:ascii="Times New Roman" w:cs="Times New Roman" w:eastAsia="Times New Roman" w:hAnsi="Times New Roman"/>
                <w:i w:val="1"/>
                <w:iCs w:val="1"/>
                <w:sz w:val="24"/>
                <w:szCs w:val="24"/>
                <w:rtl w:val="0"/>
              </w:rPr>
              <w:t xml:space="preserve">optimized</w:t>
            </w:r>
            <w:r w:rsidDel="00000000" w:rsidR="00000000" w:rsidRPr="00000000">
              <w:rPr>
                <w:rFonts w:ascii="Times New Roman" w:cs="Times New Roman" w:eastAsia="Times New Roman" w:hAnsi="Times New Roman"/>
                <w:sz w:val="24"/>
                <w:szCs w:val="24"/>
                <w:rtl w:val="0"/>
              </w:rPr>
              <w:t xml:space="preserve"> like parameters rather than hand‑crafted, this work reframed prompt design as a searchable solution space; later prompt engineering and ICL pipelines (manual and automated) inherit this idea that there exists a structured, non‑obvious space of prompts that dramatically change LM behavior.</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Task-agnostic few-shot prompting in very large language models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GPT‑3 demonstrated that a single huge LM can solve many tasks purely from </w:t>
            </w:r>
            <w:r w:rsidDel="00000000" w:rsidR="00000000" w:rsidRPr="00000000">
              <w:rPr>
                <w:rFonts w:ascii="Times New Roman" w:cs="Times New Roman" w:eastAsia="Times New Roman" w:hAnsi="Times New Roman"/>
                <w:i w:val="1"/>
                <w:iCs w:val="1"/>
                <w:sz w:val="24"/>
                <w:szCs w:val="24"/>
                <w:rtl w:val="0"/>
              </w:rPr>
              <w:t xml:space="preserve">in‑context examples and natural‑language instructions</w:t>
            </w:r>
            <w:r w:rsidDel="00000000" w:rsidR="00000000" w:rsidRPr="00000000">
              <w:rPr>
                <w:rFonts w:ascii="Times New Roman" w:cs="Times New Roman" w:eastAsia="Times New Roman" w:hAnsi="Times New Roman"/>
                <w:sz w:val="24"/>
                <w:szCs w:val="24"/>
                <w:rtl w:val="0"/>
              </w:rPr>
              <w:t xml:space="preserve">—no gradient updates—by placing a handful of labeled demonstrations and a test query in the prompt, achieving strong few-shot performance across translation, QA, and reasoning tasks.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Prompt Engineering (In-Context Learning)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established in‑context prompting as a </w:t>
            </w:r>
            <w:r w:rsidDel="00000000" w:rsidR="00000000" w:rsidRPr="00000000">
              <w:rPr>
                <w:rFonts w:ascii="Times New Roman" w:cs="Times New Roman" w:eastAsia="Times New Roman" w:hAnsi="Times New Roman"/>
                <w:i w:val="1"/>
                <w:iCs w:val="1"/>
                <w:sz w:val="24"/>
                <w:szCs w:val="24"/>
                <w:rtl w:val="0"/>
              </w:rPr>
              <w:t xml:space="preserve">general solution method</w:t>
            </w:r>
            <w:r w:rsidDel="00000000" w:rsidR="00000000" w:rsidRPr="00000000">
              <w:rPr>
                <w:rFonts w:ascii="Times New Roman" w:cs="Times New Roman" w:eastAsia="Times New Roman" w:hAnsi="Times New Roman"/>
                <w:sz w:val="24"/>
                <w:szCs w:val="24"/>
                <w:rtl w:val="0"/>
              </w:rPr>
              <w:t xml:space="preserve"> for adapting an LM at inference time, turning the design of instructions, example formats, and ordering into a primary lever—essentially defining the modern problem of prompt engineering for ICL that subsequent work refines and systematizes.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345"/>
        <w:tblGridChange w:id="0">
          <w:tblGrid>
            <w:gridCol w:w="2700"/>
            <w:gridCol w:w="63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prompt and demonstration search for small PLMs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LM‑BFF-style pipelines for “better few-shot fine-tuning” combined (i) automatic generation and scoring of prompt templates, and (ii) strategies for selecting and ordering in‑context demonstrations per test example, yielding large gains over naïve fine‑tuning for smaller PLMs.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Prompt Engineering (In-Context Learning)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methods treated prompt wording and example choice as tunable components with measurable impact, offering concrete heuristics and search procedures that foreshadow later ICL best practices (prompt libraries, template search, example selection) in modern prompt engineering workflows.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Calibration-aware design to debias few-shot prompts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Calibration work showed that few-shot ICL is highly unstable across prompt formats and example order, traced this to strong label and position biases in LMs, and proposed </w:t>
            </w:r>
            <w:r w:rsidDel="00000000" w:rsidR="00000000" w:rsidRPr="00000000">
              <w:rPr>
                <w:rFonts w:ascii="Times New Roman" w:cs="Times New Roman" w:eastAsia="Times New Roman" w:hAnsi="Times New Roman"/>
                <w:i w:val="1"/>
                <w:iCs w:val="1"/>
                <w:sz w:val="24"/>
                <w:szCs w:val="24"/>
                <w:rtl w:val="0"/>
              </w:rPr>
              <w:t xml:space="preserve">contextual calibration</w:t>
            </w:r>
            <w:r w:rsidDel="00000000" w:rsidR="00000000" w:rsidRPr="00000000">
              <w:rPr>
                <w:rFonts w:ascii="Times New Roman" w:cs="Times New Roman" w:eastAsia="Times New Roman" w:hAnsi="Times New Roman"/>
                <w:sz w:val="24"/>
                <w:szCs w:val="24"/>
                <w:rtl w:val="0"/>
              </w:rPr>
              <w:t xml:space="preserve">: measuring predictions on content‑free inputs (e.g., “N/A”) and reweighting logits to debias the prompt, often improving GPT‑2/3 few-shot accuracy by large margins.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Prompt Engineering (In-Context Learning)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revealed that prompt engineering is not just about clever wording but also about </w:t>
            </w:r>
            <w:r w:rsidDel="00000000" w:rsidR="00000000" w:rsidRPr="00000000">
              <w:rPr>
                <w:rFonts w:ascii="Times New Roman" w:cs="Times New Roman" w:eastAsia="Times New Roman" w:hAnsi="Times New Roman"/>
                <w:i w:val="1"/>
                <w:iCs w:val="1"/>
                <w:sz w:val="24"/>
                <w:szCs w:val="24"/>
                <w:rtl w:val="0"/>
              </w:rPr>
              <w:t xml:space="preserve">controlling prompt-induced biases</w:t>
            </w:r>
            <w:r w:rsidDel="00000000" w:rsidR="00000000" w:rsidRPr="00000000">
              <w:rPr>
                <w:rFonts w:ascii="Times New Roman" w:cs="Times New Roman" w:eastAsia="Times New Roman" w:hAnsi="Times New Roman"/>
                <w:sz w:val="24"/>
                <w:szCs w:val="24"/>
                <w:rtl w:val="0"/>
              </w:rPr>
              <w:t xml:space="preserve">, and provided a general corrective recipe; later ICL prompt‑engineering practices (e.g., label balancing, answer distributions, logit adjustments) build directly on this insight that prompts must be designed and calibrated jointly.</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70"/>
        <w:tblGridChange w:id="0">
          <w:tblGrid>
            <w:gridCol w:w="2475"/>
            <w:gridCol w:w="65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Retrieval-based selection of in-context examples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Retrieval-for-ICL methods trained dense retrievers or used sentence encoders to choose, for each test instance, a small set of similar labeled examples to place in the prompt, showing that learned or similarity-based retrieval of demonstrations substantially boosts in‑context learning performance.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Prompt Engineering (In-Context Learning)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turned the “which examples go in the prompt?” question into a </w:t>
            </w:r>
            <w:r w:rsidDel="00000000" w:rsidR="00000000" w:rsidRPr="00000000">
              <w:rPr>
                <w:rFonts w:ascii="Times New Roman" w:cs="Times New Roman" w:eastAsia="Times New Roman" w:hAnsi="Times New Roman"/>
                <w:i w:val="1"/>
                <w:iCs w:val="1"/>
                <w:sz w:val="24"/>
                <w:szCs w:val="24"/>
                <w:rtl w:val="0"/>
              </w:rPr>
              <w:t xml:space="preserve">retrieval problem</w:t>
            </w:r>
            <w:r w:rsidDel="00000000" w:rsidR="00000000" w:rsidRPr="00000000">
              <w:rPr>
                <w:rFonts w:ascii="Times New Roman" w:cs="Times New Roman" w:eastAsia="Times New Roman" w:hAnsi="Times New Roman"/>
                <w:sz w:val="24"/>
                <w:szCs w:val="24"/>
                <w:rtl w:val="0"/>
              </w:rPr>
              <w:t xml:space="preserve">, giving a concrete solution (learn a retriever, fill the context with nearest neighbors) that underlies many modern prompt-engineering pipelines where dynamic example selection is as important as the textual template itself.</w:t>
            </w:r>
          </w:p>
        </w:tc>
      </w:tr>
    </w:tbl>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7</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Reasoning-structured prompts with explicit intermediate steps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Reasoning-focused prompting strategies, most famously chain‑of‑thought prompting, augmented few-shot prompts with demonstrations that include full intermediate reasoning steps before the final answer, dramatically boosting performance of large LMs on math word problems, logical reasoning, and symbolic tasks.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Prompt Engineering (In-Context Learning)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showed that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you structure the reasoning in the prompt—stepwise rationales versus direct answers—can unlock qualitatively new capabilities in ICL, making reasoning-oriented prompt design (step-by-step, least-to-most, program-like prompts) a central axis of modern prompt engineering.</w:t>
            </w:r>
          </w:p>
        </w:tc>
      </w:tr>
    </w:tbl>
    <w:p w:rsidR="00000000" w:rsidDel="00000000" w:rsidP="00000000" w:rsidRDefault="00000000" w:rsidRPr="00000000" w14:paraId="00000046">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