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Ensemble‑based conservative optimization of reward objectives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RLHF work that studied reward model overoptimization and proposed ensemble‑based conservative objectives—worst‑case optimization and uncertainty‑weighted optimization—so that training maximizes a </w:t>
            </w:r>
            <w:r w:rsidDel="00000000" w:rsidR="00000000" w:rsidRPr="00000000">
              <w:rPr>
                <w:rFonts w:ascii="Times New Roman" w:cs="Times New Roman" w:eastAsia="Times New Roman" w:hAnsi="Times New Roman"/>
                <w:i w:val="1"/>
                <w:iCs w:val="1"/>
                <w:sz w:val="24"/>
                <w:szCs w:val="24"/>
                <w:rtl w:val="0"/>
              </w:rPr>
              <w:t xml:space="preserve">pessimistic</w:t>
            </w:r>
            <w:r w:rsidDel="00000000" w:rsidR="00000000" w:rsidRPr="00000000">
              <w:rPr>
                <w:rFonts w:ascii="Times New Roman" w:cs="Times New Roman" w:eastAsia="Times New Roman" w:hAnsi="Times New Roman"/>
                <w:sz w:val="24"/>
                <w:szCs w:val="24"/>
                <w:rtl w:val="0"/>
              </w:rPr>
              <w:t xml:space="preserve"> or uncertainty‑aware combination of reward models rather than a single proxy.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Overoptimization of learned reward models was a known failure mode; this direction’s core move was to bake conservatism directly into the objective (optimize worst‑case/uncertainty‑weighted reward), effectively turning “don’t overfit the reward” into an explicit regularization term—exactly the kind of objective‑level regularization that later gets grouped under Regularization Objectives.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Lagrangian constrained RLHF for safety and multi-objective control</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Gungsuh" w:cs="Gungsuh" w:eastAsia="Gungsuh" w:hAnsi="Gungsuh"/>
                <w:sz w:val="24"/>
                <w:szCs w:val="24"/>
                <w:rtl w:val="0"/>
              </w:rPr>
              <w:t xml:space="preserve">Constrained RLHF and Safe RLHF framed alignment as maximizing a reward while satisfying safety or component‑wise constraints, training separate reward and cost (or safety) models and using Lagrangian multipliers so the effective objective is “reward − λ · cost” plus the usual KL-to-reference term.</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trade-off between helpfulness, safety, and composite rewards was well known; these methods showed that you can encode the trade-off as a regularized objective—adding constraint‑derived penalty terms instead of only tuning raw rewards—making “design the regularization objective” a central lever for balancing multiple alignment goals.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Divergence-modified preference objectives (χ²-regularized alignment)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χ²‑Preference Optimization (χPO) revisited DPO and argued that KL‑based regularization is not the only choice, replacing the implicit KL term in DPO with a χ²‑divergence by changing the link function, which yields a more pessimistic, uncertainty‑aware regularizer with provable robustness to overoptimization in offline alignment.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Overoptimization was already recognized, but mostly blamed on reward models; χPO’s key insight was that the choice of divergence/regularizer in the objective fundamentally changes robustness, reframing alignment as selecting a </w:t>
            </w:r>
            <w:r w:rsidDel="00000000" w:rsidR="00000000" w:rsidRPr="00000000">
              <w:rPr>
                <w:rFonts w:ascii="Times New Roman" w:cs="Times New Roman" w:eastAsia="Times New Roman" w:hAnsi="Times New Roman"/>
                <w:i w:val="1"/>
                <w:iCs w:val="1"/>
                <w:sz w:val="24"/>
                <w:szCs w:val="24"/>
                <w:rtl w:val="0"/>
              </w:rPr>
              <w:t xml:space="preserve">regularization objective</w:t>
            </w:r>
            <w:r w:rsidDel="00000000" w:rsidR="00000000" w:rsidRPr="00000000">
              <w:rPr>
                <w:rFonts w:ascii="Times New Roman" w:cs="Times New Roman" w:eastAsia="Times New Roman" w:hAnsi="Times New Roman"/>
                <w:sz w:val="24"/>
                <w:szCs w:val="24"/>
                <w:rtl w:val="0"/>
              </w:rPr>
              <w:t xml:space="preserve"> (KL vs χ², etc.)—a direct conceptual predecessor to treating Regularization Objectives as a main design axis.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offline–online preference tuning with explicit KL coverage regularization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Importance of Online Data: Understanding Preference Fine‑tuning via Coverage” analyzed offline DPO vs online RL and proposed HyPO, which combines an offline contrastive preference loss with an </w:t>
            </w:r>
            <w:r w:rsidDel="00000000" w:rsidR="00000000" w:rsidRPr="00000000">
              <w:rPr>
                <w:rFonts w:ascii="Times New Roman" w:cs="Times New Roman" w:eastAsia="Times New Roman" w:hAnsi="Times New Roman"/>
                <w:i w:val="1"/>
                <w:iCs w:val="1"/>
                <w:sz w:val="24"/>
                <w:szCs w:val="24"/>
                <w:rtl w:val="0"/>
              </w:rPr>
              <w:t xml:space="preserve">online KL regularization term</w:t>
            </w:r>
            <w:r w:rsidDel="00000000" w:rsidR="00000000" w:rsidRPr="00000000">
              <w:rPr>
                <w:rFonts w:ascii="Times New Roman" w:cs="Times New Roman" w:eastAsia="Times New Roman" w:hAnsi="Times New Roman"/>
                <w:sz w:val="24"/>
                <w:szCs w:val="24"/>
                <w:rtl w:val="0"/>
              </w:rPr>
              <w:t xml:space="preserve"> computed on unlabeled on‑policy data to compensate for poor coverage.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Dataset coverage issues were long‑known, but mostly treated as a data problem; HyPO instead treated coverage as something you fix in the objective by adding a KL term driven by fresh on‑policy samples, foreshadowing Regularization Objectives that explicitly couple main alignment losses with auxiliary regularizers tied to coverage, exploration, or stability.</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NLL- and margin-augmented preference losses as stability regularizers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Several works modified preference objectives by adding supervised terms or margins: Iterative Reasoning Preference Optimization used a DPO loss plus an extra negative log‑likelihood term to stabilize reasoning training, while reward‑model and direct‑alignment literature introduced margin losses, reward‑weighted DPO/RPO, and REBEL’s reward‑delta weighting, all effectively augmenting the core loss with extra penalties that keep models close to pretraining behavior or respect reward gaps.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Practitioners already saw DPO/RLHF overfit or forget base capabilities; these approaches explicitly glued additional regularization terms (NLL, margins, reward‑gap penalties) onto preference objectives to stabilize training, showing that carefully designed auxiliary losses—not just KL—are powerful regularization objectives in their own right.</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Dualized safety alignment turning constraints into explicit regularizers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Dualization-based safety alignment (e.g., CAN / MOCAN / PECAN) started from constrained RLHF with safety utilities and showed that, by optimizing an explicit dual function, one can reduce the constrained problem to an unconstrained objective of the form “reward + λ·safety − β·KL”, where λ are optimized dual variables that play the role of learned regularization weights.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Safety‑constrained RLHF was known but computationally awkward; the dualization view reframed it as choosing and learning regularization terms inside a single unconstrained objective, with safety scores entering the loss exactly like regularizers—an explicit blueprint for the later Regularization Objectives framing where auxiliary goals (safety, fairness, etc.) appear as structured regularization terms rather than separate hard constraints.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