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7020"/>
        <w:tblGridChange w:id="0">
          <w:tblGrid>
            <w:gridCol w:w="2025"/>
            <w:gridCol w:w="70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Tree‑based exploration of reasoning paths during decoding</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Work like Tree‑of‑Thoughts framed inference as search over a tree of partial “thought” states, where the model samples candidate continuations at each node, evaluates them, and then uses BFS/DFS‑style search with backtracking and pruning to choose which branches to expand.</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Dynamic and Structured Sampling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of greedy, single‑path decoding for hard reasoning tasks was already well known; this line of work proposed a new solution style: represent decoding as an explicit search tree and sample in a structured, branch‑and‑bound way, directly anticipating Dynamic and Structured Sampling as a general paradigm for allocating samples across a combinatorial space of reasoning paths.</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7170"/>
        <w:tblGridChange w:id="0">
          <w:tblGrid>
            <w:gridCol w:w="1875"/>
            <w:gridCol w:w="71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MCTS‑guided structured search for language agents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Language Agent Tree Search (LATS) and related work integrated Monte Carlo Tree Search with LLM agents, treating each environment state and partial plan as a node, running rollouts guided by the model, and adaptively expanding only promising branches while sharing statistics across trajectories.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Dynamic and Structured Sampling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need for better exploration and planning than flat sampling or simple ReAct‑style rollouts was recognized; MCTS‑based agents offered a concrete structured sampling algorithm over trajectories, dynamically deciding where to spend simulation budget, which is exactly the kind of trajectory‑level Dynamic and Structured Sampling that later became a central mainframe topic.</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110"/>
        <w:tblGridChange w:id="0">
          <w:tblGrid>
            <w:gridCol w:w="1935"/>
            <w:gridCol w:w="711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Difficulty‑aware rejection sampling schedules for data synthesis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Difficulty‑Aware Rejection Tuning (DART‑Math) introduced difficulty‑aware rejection sampling (DARS): instead of sampling a fixed number of candidate solutions per math problem, the system estimates difficulty and allocates </w:t>
            </w:r>
            <w:r w:rsidDel="00000000" w:rsidR="00000000" w:rsidRPr="00000000">
              <w:rPr>
                <w:rFonts w:ascii="Times New Roman" w:cs="Times New Roman" w:eastAsia="Times New Roman" w:hAnsi="Times New Roman"/>
                <w:i w:val="1"/>
                <w:iCs w:val="1"/>
                <w:sz w:val="24"/>
                <w:szCs w:val="24"/>
                <w:rtl w:val="0"/>
              </w:rPr>
              <w:t xml:space="preserve">more</w:t>
            </w:r>
            <w:r w:rsidDel="00000000" w:rsidR="00000000" w:rsidRPr="00000000">
              <w:rPr>
                <w:rFonts w:ascii="Times New Roman" w:cs="Times New Roman" w:eastAsia="Times New Roman" w:hAnsi="Times New Roman"/>
                <w:sz w:val="24"/>
                <w:szCs w:val="24"/>
                <w:rtl w:val="0"/>
              </w:rPr>
              <w:t xml:space="preserve"> sampling trials to hard items, with strategies like Uniform and Prop2Diff to bias the synthetic dataset toward challenging queries.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Dynamic and Structured Sampling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bias toward easy examples and wasted sampling on trivial queries were long‑standing issues; difficulty‑aware rejection sampling proposed a new dynamic sampling schedule that adapts per‑instance rather than using uniform budgets, foreshadowing Dynamic and Structured Sampling as the practice of allocating samples according to estimated difficulty or value structure.</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7170"/>
        <w:tblGridChange w:id="0">
          <w:tblGrid>
            <w:gridCol w:w="1875"/>
            <w:gridCol w:w="71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Adaptive self‑consistency with early stopping criteria</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Building on self‑consistency, work on adaptive and early‑stopping self‑consistency proposed dynamic stopping rules: repeatedly sample CoT answers but stop early when the sampled answers agree sufficiently (or when a sliding window reaches consensus), instead of pre‑committing to a fixed sample count.</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Dynamic and Structured Sampling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high cost of fixed‑N self‑consistency was a known pain point; these methods reframed decoding as a dynamic sampling process whose length is controlled by agreement statistics, a clear precursor to Dynamic and Structured Sampling where inference adaptively decides “how much to sample” based on the evolving structure of the sample set.</w:t>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7140"/>
        <w:tblGridChange w:id="0">
          <w:tblGrid>
            <w:gridCol w:w="1905"/>
            <w:gridCol w:w="71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Mixture‑of‑thought cascades over reasoning formats and model sizes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Mixture‑of‑thought cascades for cost‑efficient reasoning sampled a cheaper LLM under multiple thought representations (e.g., chain‑of‑thought and program‑of‑thought prompts), checked answer consistency across these samples, and only escalated to a stronger LLM when consistency was low, effectively structuring sampling across both reasoning styles and model scales.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Dynamic and Structured Sampling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trade‑off between reasoning quality and API cost was well understood; this cascade design introduced a structured sampling policy in model/thought space—deciding which prompts and which model to sample, and how often, based on observed agreement—anticipating Dynamic and Structured Sampling as a general framework for routing and sampling across heterogeneous reasoning resources.</w:t>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7065"/>
        <w:tblGridChange w:id="0">
          <w:tblGrid>
            <w:gridCol w:w="1980"/>
            <w:gridCol w:w="70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Budget‑aware cascades with uncertainty‑controlled sampling</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Budget‑aware LLM cascade frameworks used token‑level uncertainty and budget constraints to dynamically decide when to stop with a cheap model, when to request more samples, and when to escalate to a stronger model, formalizing cascades as an optimization problem over per‑query compute budgets rather than fixed pipelines.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Dynamic and Structured Sampling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Practitioners knew that static cascades and fixed decoding parameters wasted compute or hurt accuracy; budget‑aware cascades gave a concrete objective‑driven policy for structured, dynamic sampling under resource constraints, directly prefiguring the mainframe view of Dynamic and Structured Sampling as optimizing where, how, and how much to sample given both uncertainty and budget.</w:t>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