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6855"/>
        <w:tblGridChange w:id="0">
          <w:tblGrid>
            <w:gridCol w:w="2190"/>
            <w:gridCol w:w="685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Cost-aware hyperparameter search over decoding configurations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framework that treats decoding knobs like temperature, number of responses, and max tokens as a search space, using economical hyperparameter optimization and cost-based pruning (EcoOptiGen) to find inference settings that maximize utility under a fixed budget for GPT‑3.5/4.</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Sampling Hyper-parameters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Everyone knew decoding hyperparameters mattered but they were tuned by hand; this work reframed them as explicit optimization variables with cost in the objective, an early solution pattern where “sampling hyper-parameters” are objects of principled search rather than static dials.</w:t>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6750"/>
        <w:tblGridChange w:id="0">
          <w:tblGrid>
            <w:gridCol w:w="2295"/>
            <w:gridCol w:w="675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Token-level adaptive temperature schedules for difficult vs. easy tokens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Adaptive temperature sampling for code generation analyzed token loss distributions and split tokens into “challenging” vs “confident,” then raised temperature for hard tokens and lowered it for easy ones during decoding, significantly improving pass@k on code benchmarks.</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Sampling Hyper-parameters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problem of a single global temperature being suboptimal was already known; this method’s novelty was to treat temperature as a token-wise schedule derived from difficulty, foreshadowing the mainframe idea that sampling hyper-parameters should be dynamic functions of the decoding process, not fixed constants.</w:t>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6825"/>
        <w:tblGridChange w:id="0">
          <w:tblGrid>
            <w:gridCol w:w="2220"/>
            <w:gridCol w:w="682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Prompt-based self-regulation of diversity hyperparameters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Self-Regulated Sample Diversity prompted the same LLM to first output a string of diversity parameters (temperature, top‑p, frequency/presence penalties), parse them into values, and then decode the actual answer with those hyperparameters—optionally updating them mid-generation via special syntax.</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Sampling Hyper-parameters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humans picking sampling settings, it showed that an LLM can generate its own hyperparameters from context at inference time, making decoding hyperparameters a learned, context-dependent output of the model—exactly the kind of sampling-hyperparameter control that later became a mainframe topic.</w:t>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6900"/>
        <w:tblGridChange w:id="0">
          <w:tblGrid>
            <w:gridCol w:w="2145"/>
            <w:gridCol w:w="690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Instruction-tuned hyperparameter-aware decoders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Hyperparameter Aware Generation (HAG) fine-tuned models so that, given an input, they first predict an appropriate decoding strategy and hyperparameter set (e.g., temperature, top‑k/top‑p, repetition penalties) and then generate the response using those predicted settings, trained on manually constructed (input, hyperparam) pairs.</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Sampling Hyper-parameters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known issue was cumbersome manual tuning and one-size-fits-all settings; HAG’s solution was to bake a hyperparameter selection head into the model itself via instruction tuning, directly anticipating a world where sampling hyper-parameters are learned outputs coupled to the task, not user-chosen constants.</w:t>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6825"/>
        <w:tblGridChange w:id="0">
          <w:tblGrid>
            <w:gridCol w:w="2220"/>
            <w:gridCol w:w="682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Systematic temperature–performance mapping for problem-solving tasks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large empirical study varied sampling temperature from 0.0 to 1.6 across multiple LLMs, tasks, and prompting techniques and measured problem-solving accuracy, finding that performance is often surprisingly insensitive to temperature changes in the 0.0–1.0 range.</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Sampling Hyper-parameters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field already suspected temperature mattered but lacked principled guidance; this work treated temperature as a primary experimental axis and produced actionable temperature-response curves, seeding the later mainframe view of sampling hyper-parameters as objects for systematic characterization and tuning rather than folk wisdom.</w:t>
            </w:r>
          </w:p>
        </w:tc>
      </w:tr>
    </w:tbl>
    <w:p w:rsidR="00000000" w:rsidDel="00000000" w:rsidP="00000000" w:rsidRDefault="00000000" w:rsidRPr="00000000" w14:paraId="00000032">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6</w:t>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6915"/>
        <w:tblGridChange w:id="0">
          <w:tblGrid>
            <w:gridCol w:w="2130"/>
            <w:gridCol w:w="691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Sample-compute allocation across inference configurations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Scaling LLM Inference with Optimized Sample Compute Allocation modeled different sampling configurations (e.g., distinct temperatures, numbers of samples, or decoding schemes) and optimized how many samples to draw from each under a compute budget, showing big gains in pass@k on code benchmarks by reallocating sampling effort.</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Sampling Hyper-parameters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known challenge was how many samples to draw and with which settings; this work treated sampling configurations and their budgets as variables in an explicit optimization problem over hyperparameters and sample counts, directly anticipating the mainframe focus on sampling hyper-parameters as a structured resource-allocation space.</w:t>
            </w:r>
          </w:p>
        </w:tc>
      </w:tr>
    </w:tbl>
    <w:p w:rsidR="00000000" w:rsidDel="00000000" w:rsidP="00000000" w:rsidRDefault="00000000" w:rsidRPr="00000000" w14:paraId="0000003C">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