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200"/>
        <w:tblGridChange w:id="0">
          <w:tblGrid>
            <w:gridCol w:w="1845"/>
            <w:gridCol w:w="72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Optimal‑policy regularization for continual preference alignment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continual alignment method that observes RLHF models must be </w:t>
            </w:r>
            <w:r w:rsidDel="00000000" w:rsidR="00000000" w:rsidRPr="00000000">
              <w:rPr>
                <w:rFonts w:ascii="Times New Roman" w:cs="Times New Roman" w:eastAsia="Times New Roman" w:hAnsi="Times New Roman"/>
                <w:i w:val="1"/>
                <w:iCs w:val="1"/>
                <w:sz w:val="24"/>
                <w:szCs w:val="24"/>
                <w:rtl w:val="0"/>
              </w:rPr>
              <w:t xml:space="preserve">re‑trained from scratch</w:t>
            </w:r>
            <w:r w:rsidDel="00000000" w:rsidR="00000000" w:rsidRPr="00000000">
              <w:rPr>
                <w:rFonts w:ascii="Times New Roman" w:cs="Times New Roman" w:eastAsia="Times New Roman" w:hAnsi="Times New Roman"/>
                <w:sz w:val="24"/>
                <w:szCs w:val="24"/>
                <w:rtl w:val="0"/>
              </w:rPr>
              <w:t xml:space="preserve"> when new domains or preference data arrive, and instead proposes to approximate the historical optimal policy distribution and regularize the current policy toward that historical optimum so the model can be updated on new preference tasks without catastrophic forgetting.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instability and cost of repeatedly re‑running RLHF for every new batch of user feedback were already well known; this work’s answer was to build continual, incremental updates into the RLHF objective itself via optimal‑policy regularization, directly foreshadowing the broader idea of Continual RL for LLMs where policies are updated over streams of preference tasks while preserving past behavior.</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PPO-style continual RLHF across evolving domains (CPPO)</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“Continual Proximal Policy Optimization” framework that treats RLHF as a sequence of alignment tasks (e.g., different Reddit domains) and designs a PPO‑based objective with sample‑wise weights and lightweight knowledge‑retention penalties so a policy can be updated task‑by‑task while maintaining performance on earlier preference datasets.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Forgetting older behaviors when running RLHF on new domains was a recognized problem; CPPO showed a concrete continual RL recipe—PPO plus adaptive retention terms—explicitly aimed at long‑horizon RLHF over many tasks, making it an early method prototype for what later became the mainframe topic of Continual RL for LLMs.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iterative RLHF workflows for deployed LLMs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practical and theoretical “from reward modeling to online iterative RLHF” workflow that formalizes RLHF as repeated cycles of (1) deploying a policy, (2) collecting new preference data with a reward or preference model, and (3) updating the policy, with an open‑source recipe for running these loops rather than one‑shot offline RLHF.</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need to keep chatbots aligned as user distributions drift was already understood; this work’s contribution was to treat RLHF as an ongoing online process, with explicit implementation guidance, giving a very direct solution template for Continual RL for LLMs where the model is repeatedly improved in deployment rather than post‑hoc in a single training run.</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General‑preference online RLHF with theoretical guarantees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NeurIPS framework that models RLHF under a general preference oracle, not just Bradley–Terry rewards, and develops sample‑efficient algorithms for both offline and </w:t>
            </w:r>
            <w:r w:rsidDel="00000000" w:rsidR="00000000" w:rsidRPr="00000000">
              <w:rPr>
                <w:rFonts w:ascii="Times New Roman" w:cs="Times New Roman" w:eastAsia="Times New Roman" w:hAnsi="Times New Roman"/>
                <w:i w:val="1"/>
                <w:i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learning, analyzing a KL‑regularized minimax game between two LLM policies and giving guarantees for iterative preference‑based updates.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online RLHF “should” work but lacked solid theory; this work explicitly studies repeated, online preference queries and updates, providing the algorithmic and theoretical underpinnings for treating LLM alignment as continual RL under evolving preference oracles—exactly the conceptual backbone of Continual RL for LLMs.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Token‑level continual RL for streaming controlled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controlled text generation study that reinterprets Plug‑and‑Play Language Models as continual reinforcement learning, and then proposes a PPO‑style algorithm (PPOLM) where the “policy” is the next‑token distribution and updates are applied </w:t>
            </w:r>
            <w:r w:rsidDel="00000000" w:rsidR="00000000" w:rsidRPr="00000000">
              <w:rPr>
                <w:rFonts w:ascii="Times New Roman" w:cs="Times New Roman" w:eastAsia="Times New Roman" w:hAnsi="Times New Roman"/>
                <w:i w:val="1"/>
                <w:iCs w:val="1"/>
                <w:sz w:val="24"/>
                <w:szCs w:val="24"/>
                <w:rtl w:val="0"/>
              </w:rPr>
              <w:t xml:space="preserve">at every time step</w:t>
            </w:r>
            <w:r w:rsidDel="00000000" w:rsidR="00000000" w:rsidRPr="00000000">
              <w:rPr>
                <w:rFonts w:ascii="Times New Roman" w:cs="Times New Roman" w:eastAsia="Times New Roman" w:hAnsi="Times New Roman"/>
                <w:sz w:val="24"/>
                <w:szCs w:val="24"/>
                <w:rtl w:val="0"/>
              </w:rPr>
              <w:t xml:space="preserve"> rather than only at the end of a sentence—enabling online steering of LLM outputs in streaming scenarios like speech.</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limitation of episodic, sentence‑level RL for real‑time applications was already recognized; casting CTG as continual RL and doing step‑wise policy updates on an LLM’s token distribution was an early, concrete instantiation of Continual RL for LLMs, showing how RL updates can be interleaved with generation instead of run as a separate offline stage.</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80"/>
        <w:tblGridChange w:id="0">
          <w:tblGrid>
            <w:gridCol w:w="1665"/>
            <w:gridCol w:w="73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Asynchronous off‑policy RLHF pipelines enabling continuous training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off‑policy RLHF paradigm that decouples generation and learning across GPUs: completions are generated with fast inference backends while training runs in parallel on slightly stale data, analyzing how much off‑policyness different RLHF objectives (PPO, RLOO, online DPO) can tolerate and demonstrating large speedups for instruction‑following chatbots.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Continuous RL on ever‑larger LLMs was known to be compute‑bottlenecked; asynchronous RLHF’s key move is to treat RLHF as a streaming, off‑policy process that never fully stops, training on rolling buffers of experience while new trajectories are generated—an operational blueprint for large‑scale Continual RL for LLMs where learning and interaction are intertwined over long time horizons.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