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over external experience memory for LLM agents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2023 line of work on semi‑parametric LLM agents (e.g., the “Rememberer” framework) that introduced an external experience memory storing task descriptions, observations, actions, rewards and Q‑values, and a Reinforcement Learning with Experience Memory (RLEM) procedure that updates only this memory from interaction episodes while keeping the LLM frozen.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Memory-based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showed that the </w:t>
            </w:r>
            <w:r w:rsidDel="00000000" w:rsidR="00000000" w:rsidRPr="00000000">
              <w:rPr>
                <w:rFonts w:ascii="Times New Roman" w:cs="Times New Roman" w:eastAsia="Times New Roman" w:hAnsi="Times New Roman"/>
                <w:i w:val="1"/>
                <w:iCs w:val="1"/>
                <w:sz w:val="24"/>
                <w:szCs w:val="24"/>
                <w:rtl w:val="0"/>
              </w:rPr>
              <w:t xml:space="preserve">locus of learning</w:t>
            </w:r>
            <w:r w:rsidDel="00000000" w:rsidR="00000000" w:rsidRPr="00000000">
              <w:rPr>
                <w:rFonts w:ascii="Times New Roman" w:cs="Times New Roman" w:eastAsia="Times New Roman" w:hAnsi="Times New Roman"/>
                <w:sz w:val="24"/>
                <w:szCs w:val="24"/>
                <w:rtl w:val="0"/>
              </w:rPr>
              <w:t xml:space="preserve"> for an LLM agent could be an external memory updated by RL instead of model weights, foreshadowing later memory-based RL setups where policies learn to write, edit, and query long‑term memories as their primary way of improving behavior.</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self‑reflection stored in episodic memory as the reinforcement signal</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“Reflexion” line of work framed self‑improvement as verbal reinforcement: agents convert task feedback into natural‑language reflections and store them in an episodic memory buffer, then condition future decisions on this accumulated reflective text without any gradient updates to the LLM.</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Memory-based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introduced the idea that reward signals can be turned into </w:t>
            </w:r>
            <w:r w:rsidDel="00000000" w:rsidR="00000000" w:rsidRPr="00000000">
              <w:rPr>
                <w:rFonts w:ascii="Times New Roman" w:cs="Times New Roman" w:eastAsia="Times New Roman" w:hAnsi="Times New Roman"/>
                <w:i w:val="1"/>
                <w:iCs w:val="1"/>
                <w:sz w:val="24"/>
                <w:szCs w:val="24"/>
                <w:rtl w:val="0"/>
              </w:rPr>
              <w:t xml:space="preserve">persistent textual memory</w:t>
            </w:r>
            <w:r w:rsidDel="00000000" w:rsidR="00000000" w:rsidRPr="00000000">
              <w:rPr>
                <w:rFonts w:ascii="Times New Roman" w:cs="Times New Roman" w:eastAsia="Times New Roman" w:hAnsi="Times New Roman"/>
                <w:sz w:val="24"/>
                <w:szCs w:val="24"/>
                <w:rtl w:val="0"/>
              </w:rPr>
              <w:t xml:space="preserve"> rather than parameter changes, pointing toward memory-based RL formulations where the RL objective optimizes what “lessons” get committed to memory and how they are reused across episodes.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Continual adaptation via dynamic causal knowledge memory instead of parameter updates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CLIN agent used a persistent, dynamically updated textual memory of causal abstractions—expressing how actions change the world—to continually improve on ScienceWorld tasks over many trials, explicitly avoiding reinforcement‑learning fine‑tuning and instead rewriting its memory after each episode.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Memory-based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 reframed long‑term improvement as learning and querying a structured causal memory, which is naturally compatible with RL objectives; later memory-based RL work can be seen as adding explicit reward‑driven credit assignment to exactly this kind of evolving external memory.</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50"/>
        <w:tblGridChange w:id="0">
          <w:tblGrid>
            <w:gridCol w:w="2010"/>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Episodic-memory reinforcement learning for prompt and example ordering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POEM direction (“PrOmpting with Episodic Memory”) cast few‑shot prompt optimization as an RL problem where an episodic memory archives permutations of examples, associated inputs, and observed rewards; at test time, the system retrieves similar past episodes and selects the example sequence with the highest total stored reward.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Memory-based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an explicit instance of RL operating purely over a memory of past prompt–reward pairs rather than over LLM parameters, anticipating memory-based RL schemes where the agent’s “policy” is effectively a learned retrieval-and-composition strategy over a high‑dimensional experience store.</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Experiential text logs as a non‑parametric policy for LLM agents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ExpeL line of work treated LLM agents as experiential learners: agents autonomously collect trajectories, extract natural‑language “insights” from them, and maintain these in an experience memory that is queried to guide future decisions, leading to steady performance gains as more experiences accumulate—again without changing model weights.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Memory-based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ExpeL showed that a growing store of textified experiences can function like a non‑parametric policy shaped by past rewards, setting the stage for explicitly RL‑driven mechanisms that optimize what is stored, how it is summarized, and how it is retrieved as a form of memory‑centric reinforcement learning.</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state‑machine memories built from past reasoning and interaction trajectories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State Machine of Thoughts (SMoT) and related work built state‑machine representations from prior reasoning trajectories, where states correspond to decomposed subproblems and transitions encode dependencies; these structured memories, containing both successful and failed paths, are reused to solve new instances in exploration‑heavy tasks such as games and navigation.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Memory-based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long‑term experience as a structured graph over states and actions, SMoT hinted that future RL for LLMs could learn to traverse and refine rich memory structures—not just flat buffers—so that memory itself becomes the object optimized by the RL objective in complex sequential decision problems.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