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765"/>
        <w:tblGridChange w:id="0">
          <w:tblGrid>
            <w:gridCol w:w="2280"/>
            <w:gridCol w:w="67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Distillation and specialization of small reasoning models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2023, works such as </w:t>
            </w:r>
            <w:r w:rsidDel="00000000" w:rsidR="00000000" w:rsidRPr="00000000">
              <w:rPr>
                <w:rFonts w:ascii="Times New Roman" w:cs="Times New Roman" w:eastAsia="Times New Roman" w:hAnsi="Times New Roman"/>
                <w:i w:val="1"/>
                <w:iCs w:val="1"/>
                <w:sz w:val="24"/>
                <w:szCs w:val="24"/>
                <w:rtl w:val="0"/>
              </w:rPr>
              <w:t xml:space="preserve">Large Language Models Are Reasoning Teachers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Specializing Smaller Language Models towards Multi-Step Reasoning</w:t>
            </w:r>
            <w:r w:rsidDel="00000000" w:rsidR="00000000" w:rsidRPr="00000000">
              <w:rPr>
                <w:rFonts w:ascii="Times New Roman" w:cs="Times New Roman" w:eastAsia="Times New Roman" w:hAnsi="Times New Roman"/>
                <w:sz w:val="24"/>
                <w:szCs w:val="24"/>
                <w:rtl w:val="0"/>
              </w:rPr>
              <w:t xml:space="preserve"> used large LMs to generate chain-of-thought traces, then finetuned smaller, task-focused students (e.g., math reasoners) that inherited these skills while being much cheaper to run.</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Teaching LRMs Efficient Reasoning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proposed a concrete solution to the known problem that strong reasoning seemed to require huge, expensive models: offload rich reasoning generation to big teachers once, then deploy compact students that execute reasoning efficiently—anticipating later LRMs explicitly trained to balance reasoning power and resource use.</w:t>
            </w:r>
            <w:r w:rsidDel="00000000" w:rsidR="00000000" w:rsidRPr="00000000">
              <w:rPr>
                <w:rtl w:val="0"/>
              </w:rPr>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630"/>
        <w:tblGridChange w:id="0">
          <w:tblGrid>
            <w:gridCol w:w="2415"/>
            <w:gridCol w:w="66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Concise chain-of-thought prompting for cost-aware reasoning</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“concise CoT” line (e.g., </w:t>
            </w:r>
            <w:r w:rsidDel="00000000" w:rsidR="00000000" w:rsidRPr="00000000">
              <w:rPr>
                <w:rFonts w:ascii="Times New Roman" w:cs="Times New Roman" w:eastAsia="Times New Roman" w:hAnsi="Times New Roman"/>
                <w:i w:val="1"/>
                <w:iCs w:val="1"/>
                <w:sz w:val="24"/>
                <w:szCs w:val="24"/>
                <w:rtl w:val="0"/>
              </w:rPr>
              <w:t xml:space="preserve">The Benefits of a Concise Chain of Thought on Problem-Solving in LLMs</w:t>
            </w:r>
            <w:r w:rsidDel="00000000" w:rsidR="00000000" w:rsidRPr="00000000">
              <w:rPr>
                <w:rFonts w:ascii="Times New Roman" w:cs="Times New Roman" w:eastAsia="Times New Roman" w:hAnsi="Times New Roman"/>
                <w:sz w:val="24"/>
                <w:szCs w:val="24"/>
                <w:rtl w:val="0"/>
              </w:rPr>
              <w:t xml:space="preserve">) introduced prompts that ask models to “think step by step, but be concise”, systematically measuring how shorter chains affect accuracy and token cost and finding that concise reasoning can often match or outperform standard CoT.</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Teaching LRMs Efficient Reasoning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Gungsuh" w:cs="Gungsuh" w:eastAsia="Gungsuh" w:hAnsi="Gungsuh"/>
                <w:sz w:val="24"/>
                <w:szCs w:val="24"/>
                <w:rtl w:val="0"/>
              </w:rPr>
              <w:t xml:space="preserve">By explicitly treating reasoning length as an optimization target rather than a side effect, this work showed that “more tokens ≠ better reasoning” and suggested training objectives that reward </w:t>
            </w:r>
            <w:r w:rsidDel="00000000" w:rsidR="00000000" w:rsidRPr="00000000">
              <w:rPr>
                <w:rFonts w:ascii="Times New Roman" w:cs="Times New Roman" w:eastAsia="Times New Roman" w:hAnsi="Times New Roman"/>
                <w:i w:val="1"/>
                <w:iCs w:val="1"/>
                <w:sz w:val="24"/>
                <w:szCs w:val="24"/>
                <w:rtl w:val="0"/>
              </w:rPr>
              <w:t xml:space="preserve">correct but short</w:t>
            </w:r>
            <w:r w:rsidDel="00000000" w:rsidR="00000000" w:rsidRPr="00000000">
              <w:rPr>
                <w:rFonts w:ascii="Times New Roman" w:cs="Times New Roman" w:eastAsia="Times New Roman" w:hAnsi="Times New Roman"/>
                <w:sz w:val="24"/>
                <w:szCs w:val="24"/>
                <w:rtl w:val="0"/>
              </w:rPr>
              <w:t xml:space="preserve"> reasoning traces—exactly the kind of signal later used when teaching LRMs to avoid overthinking and respect token budgets.</w:t>
            </w:r>
            <w:r w:rsidDel="00000000" w:rsidR="00000000" w:rsidRPr="00000000">
              <w:rPr>
                <w:rtl w:val="0"/>
              </w:rPr>
            </w:r>
          </w:p>
        </w:tc>
      </w:tr>
    </w:tbl>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675"/>
        <w:tblGridChange w:id="0">
          <w:tblGrid>
            <w:gridCol w:w="2370"/>
            <w:gridCol w:w="66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Latent-space (“continuous thought”) reasoning loops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Coconut paradigm trained LLMs to reason in a continuous latent space: instead of emitting natural-language CoT at every step, the model reuses its hidden state as “continuous thought”, iterating internally and only decoding to text when needed, achieving better accuracy–efficiency trade-offs on some logical reasoning tasks.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Teaching LRMs Efficient Reasoning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directly attacked the inefficiency of language-based reasoning by separating “thinking” from “talking”, showing that much of the computation can happen in compact latent vectors; it foreshadowed LRMs trained to concentrate heavy computation in internal channels while emitting minimal external traces, a core strategy for efficient reasoning.</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645"/>
        <w:tblGridChange w:id="0">
          <w:tblGrid>
            <w:gridCol w:w="2415"/>
            <w:gridCol w:w="66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Compressed chain-of-thought via dense contemplation tokens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Compressed Chain-of-Thought introduced “contemplation tokens”: short sequences of dense embeddings that stand in for long, explicit CoT, allowing models to perform extended internal reasoning with tunable numbers of these tokens and thereby trade accuracy against token budget at inference time.</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Teaching LRMs Efficient Reasoning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provided a concrete mechanism to compress reasoning into fewer, more informative steps while preserving performance, addressing the known latency and cost issues of CoT; this pattern—explicit knobs for “how much thinking” per query—became central to later LRMs trained to optimize both correctness and reasoning efficiency.</w:t>
            </w:r>
          </w:p>
        </w:tc>
      </w:tr>
    </w:tbl>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585"/>
        <w:tblGridChange w:id="0">
          <w:tblGrid>
            <w:gridCol w:w="2460"/>
            <w:gridCol w:w="658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Reverse curriculum RL for outcome-supervised reasoning</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R³ (reverse curriculum RL for reasoning) proposed starting RL rollouts from near the end of correct demonstrations and gradually moving earlier, letting pure outcome-based rewards behave like stepwise supervision and making it feasible to train reasoning skills without dense human-labeled process rewards.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Teaching LRMs Efficient Reasoning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line solved a key bottleneck—reasoning RL being sample-inefficient and label-hungry—by making exploration and credit assignment far more efficient, pointing toward LRMs that can </w:t>
            </w:r>
            <w:r w:rsidDel="00000000" w:rsidR="00000000" w:rsidRPr="00000000">
              <w:rPr>
                <w:rFonts w:ascii="Times New Roman" w:cs="Times New Roman" w:eastAsia="Times New Roman" w:hAnsi="Times New Roman"/>
                <w:i w:val="1"/>
                <w:iCs w:val="1"/>
                <w:sz w:val="24"/>
                <w:szCs w:val="24"/>
                <w:rtl w:val="0"/>
              </w:rPr>
              <w:t xml:space="preserve">learn</w:t>
            </w:r>
            <w:r w:rsidDel="00000000" w:rsidR="00000000" w:rsidRPr="00000000">
              <w:rPr>
                <w:rFonts w:ascii="Times New Roman" w:cs="Times New Roman" w:eastAsia="Times New Roman" w:hAnsi="Times New Roman"/>
                <w:sz w:val="24"/>
                <w:szCs w:val="24"/>
                <w:rtl w:val="0"/>
              </w:rPr>
              <w:t xml:space="preserve"> efficient reasoning policies (including when to stop thinking) from sparse signals instead of huge curated CoT datasets.</w:t>
            </w:r>
          </w:p>
        </w:tc>
      </w:tr>
    </w:tbl>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