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chain-of-thought distillation into hidden states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direction that trained student LLMs to </w:t>
            </w:r>
            <w:r w:rsidDel="00000000" w:rsidR="00000000" w:rsidRPr="00000000">
              <w:rPr>
                <w:rFonts w:ascii="Times New Roman" w:cs="Times New Roman" w:eastAsia="Times New Roman" w:hAnsi="Times New Roman"/>
                <w:i w:val="1"/>
                <w:iCs w:val="1"/>
                <w:sz w:val="24"/>
                <w:szCs w:val="24"/>
                <w:rtl w:val="0"/>
              </w:rPr>
              <w:t xml:space="preserve">internalize</w:t>
            </w:r>
            <w:r w:rsidDel="00000000" w:rsidR="00000000" w:rsidRPr="00000000">
              <w:rPr>
                <w:rFonts w:ascii="Times New Roman" w:cs="Times New Roman" w:eastAsia="Times New Roman" w:hAnsi="Times New Roman"/>
                <w:sz w:val="24"/>
                <w:szCs w:val="24"/>
                <w:rtl w:val="0"/>
              </w:rPr>
              <w:t xml:space="preserve"> chain-of-thought by distilling from a teacher that produces explicit CoT, so that the student performs multi-step reasoning “vertically” in its hidden layers instead of emitting intermediate text, as in the implicit CoT work by Deng et al.</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CoT boosts accuracy but is slow and token‑hungry; this line showed a concrete way to teach the reasoning steps into latent representations, giving a recipe for moving from visible CoT to hidden, latent-space reasoning without sacrificing performance.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Pause‑token delayed answering as latent “thinking time”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Pause‑token training appended special </w:t>
            </w:r>
            <w:r w:rsidDel="00000000" w:rsidR="00000000" w:rsidRPr="00000000">
              <w:rPr>
                <w:rFonts w:ascii="Courier New" w:cs="Courier New" w:eastAsia="Courier New" w:hAnsi="Courier New"/>
                <w:sz w:val="20"/>
                <w:szCs w:val="20"/>
                <w:rtl w:val="0"/>
              </w:rPr>
              <w:t xml:space="preserve">&lt;pause&gt;</w:t>
            </w:r>
            <w:r w:rsidDel="00000000" w:rsidR="00000000" w:rsidRPr="00000000">
              <w:rPr>
                <w:rFonts w:ascii="Times New Roman" w:cs="Times New Roman" w:eastAsia="Times New Roman" w:hAnsi="Times New Roman"/>
                <w:sz w:val="24"/>
                <w:szCs w:val="24"/>
                <w:rtl w:val="0"/>
              </w:rPr>
              <w:t xml:space="preserve"> tokens so the model performed extra internal updates before emitting the next visible token, effectively giving it multiple hidden-state “ticks” to think silently and improving downstream QA and reasoning benchmarks when pretraining and finetuning used these delays.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limitation of standard LMs—having to commit to an output after a single forward pass—was well known; pause tokens offered a mechanism to expand computation purely in latent space, foreshadowing training setups where we explicitly teach models to reason more in hidden states before “speaking.”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Internal-monologue rationales as token-level latent reasoning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Quiet‑STaR generalized STaR by training models to generate internal rationales at nearly every token, bounded by special thought markers, using them to predict future text and improve zero‑shot reasoning—these thoughts are usually not surfaced to the user but live as an internal monologue that guides predictions.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CoT had mostly been “reasoning out loud”; Quiet‑STaR showed a scalable way to train LLMs to maintain and use rich internal thoughts that need not be output, pushing the field toward viewing reasoning as an internal latent process that can be learned from raw text rather than only task‑specific CoT data.</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hidden-state loops for chain-of-continuous thought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Coconut (Chain of Continuous Thought) introduced a paradigm where the “reasoning state” is the last hidden vector; instead of decoding it to a token, that vector is fed back as the next input embedding, letting the model carry out multiple reasoning steps purely in continuous latent space and even explore multiple branches before producing any language.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directly attacked the known inefficiency and rigidity of text‑only CoT by replacing intermediate words with continuous “thought” vectors, giving a concrete training and inference recipe for genuinely latent-space reasoning rather than just shorter or hidden CoT strings.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contemplation tokens as compressed latent reasoning traces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Compressed Chain-of-Thought (CCoT) proposed “contemplation tokens”—continuous embeddings that are trained to summarize full language CoT traces—so the model can insert a small, variable-length sequence of dense tokens that carry the reasoning state, trading off accuracy against the number of such latent tokens generated.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cost of long CoT outputs was already a bottleneck; CCoT offered a mechanism to teach models to pack multi-step reasoning into compact latent vectors, making “how to encode and decode reasoning in dense space” a central design choice rather than an afterthought.</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Variational latent-reasoning objectives with self-rewarding</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LaTent Reasoning Optimization (LaTRO) framed reasoning trajectories themselves as samples from a latent distribution and optimized them via a variational objective, using the model’s own log‑probability of the correct answer as a “self‑reward” signal to jointly improve both the latent reasoning process and its evaluation.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LLMs Latent Space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already knew training better reasoning needed more than prompting; LaTRO provided a principled latent-variable training objective where reasoning lives in an explicit latent space and is optimized end‑to‑end, giving a blueprint for teaching LLMs latent-space reasoning without external reward models or visible CoT.</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