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Preference‑guided pretraining with reward‑weighted objectives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that replaced “pure next‑token MLE” with pretraining objectives shaped by human‑preference rewards, e.g. conditional training on reward scores, unlikelihood loss against toxic spans, and RL‑style reward‑weighted / advantage‑weighted regression over the pretraining corpus. Korbak et al.’s </w:t>
            </w:r>
            <w:r w:rsidDel="00000000" w:rsidR="00000000" w:rsidRPr="00000000">
              <w:rPr>
                <w:rFonts w:ascii="Times New Roman" w:cs="Times New Roman" w:eastAsia="Times New Roman" w:hAnsi="Times New Roman"/>
                <w:i w:val="1"/>
                <w:iCs w:val="1"/>
                <w:sz w:val="24"/>
                <w:szCs w:val="24"/>
                <w:rtl w:val="0"/>
              </w:rPr>
              <w:t xml:space="preserve">pretraining with human preferences</w:t>
            </w:r>
            <w:r w:rsidDel="00000000" w:rsidR="00000000" w:rsidRPr="00000000">
              <w:rPr>
                <w:rFonts w:ascii="Times New Roman" w:cs="Times New Roman" w:eastAsia="Times New Roman" w:hAnsi="Times New Roman"/>
                <w:sz w:val="24"/>
                <w:szCs w:val="24"/>
                <w:rtl w:val="0"/>
              </w:rPr>
              <w:t xml:space="preserve"> benchmarked these PHF objectives and found that conditioning on reward scores during GPT‑2‑scale pretraining yields models that are both aligned and competitive on downstream tasks.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community already knew “pretrain then RLHF” is misaligned and hard to unlearn; this work’s solution was to treat pretraining itself as an offline RL problem over web text + reward model, with reward‑weighted objectives baked into the training loss. That is exactly the conceptual move behind RL for LLMs Pre‑training: use rewards (human or learned) to steer the </w:t>
            </w:r>
            <w:r w:rsidDel="00000000" w:rsidR="00000000" w:rsidRPr="00000000">
              <w:rPr>
                <w:rFonts w:ascii="Times New Roman" w:cs="Times New Roman" w:eastAsia="Times New Roman" w:hAnsi="Times New Roman"/>
                <w:i w:val="1"/>
                <w:iCs w:val="1"/>
                <w:sz w:val="24"/>
                <w:szCs w:val="24"/>
                <w:rtl w:val="0"/>
              </w:rPr>
              <w:t xml:space="preserve">base</w:t>
            </w:r>
            <w:r w:rsidDel="00000000" w:rsidR="00000000" w:rsidRPr="00000000">
              <w:rPr>
                <w:rFonts w:ascii="Times New Roman" w:cs="Times New Roman" w:eastAsia="Times New Roman" w:hAnsi="Times New Roman"/>
                <w:sz w:val="24"/>
                <w:szCs w:val="24"/>
                <w:rtl w:val="0"/>
              </w:rPr>
              <w:t xml:space="preserve"> model rather than only a small post‑training tail.</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515"/>
        <w:tblGridChange w:id="0">
          <w:tblGrid>
            <w:gridCol w:w="1530"/>
            <w:gridCol w:w="75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Pretraining‑scale reasoning rewards on unstructured corpora</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Foster et al. introduced Reasoning Advantage (RA), a reward based on the </w:t>
            </w:r>
            <w:r w:rsidDel="00000000" w:rsidR="00000000" w:rsidRPr="00000000">
              <w:rPr>
                <w:rFonts w:ascii="Times New Roman" w:cs="Times New Roman" w:eastAsia="Times New Roman" w:hAnsi="Times New Roman"/>
                <w:i w:val="1"/>
                <w:iCs w:val="1"/>
                <w:sz w:val="24"/>
                <w:szCs w:val="24"/>
                <w:rtl w:val="0"/>
              </w:rPr>
              <w:t xml:space="preserve">relative loss improvement</w:t>
            </w:r>
            <w:r w:rsidDel="00000000" w:rsidR="00000000" w:rsidRPr="00000000">
              <w:rPr>
                <w:rFonts w:ascii="Times New Roman" w:cs="Times New Roman" w:eastAsia="Times New Roman" w:hAnsi="Times New Roman"/>
                <w:sz w:val="24"/>
                <w:szCs w:val="24"/>
                <w:rtl w:val="0"/>
              </w:rPr>
              <w:t xml:space="preserve"> from adding chain‑of‑thought, and explicitly asked what reward functions are suitable for learning to reason </w:t>
            </w:r>
            <w:r w:rsidDel="00000000" w:rsidR="00000000" w:rsidRPr="00000000">
              <w:rPr>
                <w:rFonts w:ascii="Times New Roman" w:cs="Times New Roman" w:eastAsia="Times New Roman" w:hAnsi="Times New Roman"/>
                <w:i w:val="1"/>
                <w:iCs w:val="1"/>
                <w:sz w:val="24"/>
                <w:szCs w:val="24"/>
                <w:rtl w:val="0"/>
              </w:rPr>
              <w:t xml:space="preserve">during general LM pretraining</w:t>
            </w:r>
            <w:r w:rsidDel="00000000" w:rsidR="00000000" w:rsidRPr="00000000">
              <w:rPr>
                <w:rFonts w:ascii="Times New Roman" w:cs="Times New Roman" w:eastAsia="Times New Roman" w:hAnsi="Times New Roman"/>
                <w:sz w:val="24"/>
                <w:szCs w:val="24"/>
                <w:rtl w:val="0"/>
              </w:rPr>
              <w:t xml:space="preserve">. They not only used RA on free‑form QA data but also ran offline RL directly on general unstructured text, treating the pretraining corpus as the environment and RA as the reward.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problem—getting better reasoning from the </w:t>
            </w:r>
            <w:r w:rsidDel="00000000" w:rsidR="00000000" w:rsidRPr="00000000">
              <w:rPr>
                <w:rFonts w:ascii="Times New Roman" w:cs="Times New Roman" w:eastAsia="Times New Roman" w:hAnsi="Times New Roman"/>
                <w:i w:val="1"/>
                <w:iCs w:val="1"/>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 pretraining data without curated math/code labels—was well known; RA’s key move was to frame reasoning improvement as RL on pretraining‑scale text, with an explicit reward optimized via offline RL. That is a direct prototype of RL for LLMs Pre‑training: a reward defined on generic pretraining data and optimized as part of the base training loop, not just in a later RLHF phase.</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40"/>
        <w:tblGridChange w:id="0">
          <w:tblGrid>
            <w:gridCol w:w="1605"/>
            <w:gridCol w:w="74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Self‑rewarding RL loops with LLM‑as‑a‑judge instead of external labels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“Self‑rewarding” work showed that a single LLM can act as both policy and reward provider: the model generates candidate responses, scores them via an LLM‑as‑a‑Judge prompt, and then runs iterative preference optimization (e.g., DPO‑style updates) so that both the policy and its internal reward signal improve over time—often with little or no new human data.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for pretraining needs scalable rewards over trillions of tokens, not hand‑labeled signals; self‑rewarding LMs provided a solution template where the reward is generated by the model itself and improved in lockstep with the policy. Scale that idea from narrow instruction data to generic pretraining corpora and you essentially get RL on pretraining data without external supervision—the core promise of RL for LLMs Pre‑training.</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Reverse‑curriculum RL to turn outcome rewards into dense training signals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R³ (“Training Large Language Models for Reasoning through Reverse Curriculum RL”) proposed a reverse curriculum: start RL rollouts from states near the end of correct demonstrations and progressively move the start earlier, so that sparse, outcome‑only correctness signals on long CoT traces become effective step‑wise supervision for reasoning.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blocker for RL at pretraining scale is credit assignment over long, noisy sequences with only weak rewards. Reverse curriculum RL offered a concrete mechanism for turning sparse outcome rewards into dense, learnable signals over full trajectories—exactly the sort of technique RL for LLMs Pre‑training needs to make large‑scale RL on raw text computationally viable.</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Self-improving RL loops with prioritized hindsight replay on synthetic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CodeIt framed ARC‑style program synthesis for an LLM as RL with extremely sparse rewards, and tackled it using </w:t>
            </w:r>
            <w:r w:rsidDel="00000000" w:rsidR="00000000" w:rsidRPr="00000000">
              <w:rPr>
                <w:rFonts w:ascii="Times New Roman" w:cs="Times New Roman" w:eastAsia="Times New Roman" w:hAnsi="Times New Roman"/>
                <w:i w:val="1"/>
                <w:iCs w:val="1"/>
                <w:sz w:val="24"/>
                <w:szCs w:val="24"/>
                <w:rtl w:val="0"/>
              </w:rPr>
              <w:t xml:space="preserve">prioritized hindsight replay</w:t>
            </w:r>
            <w:r w:rsidDel="00000000" w:rsidR="00000000" w:rsidRPr="00000000">
              <w:rPr>
                <w:rFonts w:ascii="Times New Roman" w:cs="Times New Roman" w:eastAsia="Times New Roman" w:hAnsi="Times New Roman"/>
                <w:sz w:val="24"/>
                <w:szCs w:val="24"/>
                <w:rtl w:val="0"/>
              </w:rPr>
              <w:t xml:space="preserve">: relabel goals with actually achieved outputs and replay the most informative episodes, enabling a pre‑trained model to significantly improve itself on a hard reasoning benchmark through repeated RL on its own generated experience.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for LLM pretraining requires self‑improvement on vast unlabeled or synthetic corpora where rewards are sparse and noisy. CodeIt’s approach showed how an LLM can treat its own interaction data as a replay buffer and use off‑policy RL tricks to bootstrap new capabilities, a concrete recipe that scales naturally from a narrow ARC setting to RL‑driven pretraining loops over massive, automatically generated task distributions.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Preference‑centric “preference pretraining” as a replacement for post‑hoc RLHF</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Feedback‑learning surveys around 2023 highlighted preference pretraining as a distinct regime: instead of doing MLE then RLHF, train base models under objectives that are </w:t>
            </w:r>
            <w:r w:rsidDel="00000000" w:rsidR="00000000" w:rsidRPr="00000000">
              <w:rPr>
                <w:rFonts w:ascii="Times New Roman" w:cs="Times New Roman" w:eastAsia="Times New Roman" w:hAnsi="Times New Roman"/>
                <w:i w:val="1"/>
                <w:iCs w:val="1"/>
                <w:sz w:val="24"/>
                <w:szCs w:val="24"/>
                <w:rtl w:val="0"/>
              </w:rPr>
              <w:t xml:space="preserve">already shaped</w:t>
            </w:r>
            <w:r w:rsidDel="00000000" w:rsidR="00000000" w:rsidRPr="00000000">
              <w:rPr>
                <w:rFonts w:ascii="Times New Roman" w:cs="Times New Roman" w:eastAsia="Times New Roman" w:hAnsi="Times New Roman"/>
                <w:sz w:val="24"/>
                <w:szCs w:val="24"/>
                <w:rtl w:val="0"/>
              </w:rPr>
              <w:t xml:space="preserve"> by human or proxy preferences, e.g., conditional pretraining with reward scores, unlikelihood against toxic continuations, and other RL‑inspired f‑divergence objectives, and showed this can outperform the standard “pretrain then align” pipeline on robustness to red‑teaming.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issue was that post‑hoc RLHF fights against deeply ingrained behaviors from MLE pretraining. Preference pretraining reframed alignment as changing the </w:t>
            </w:r>
            <w:r w:rsidDel="00000000" w:rsidR="00000000" w:rsidRPr="00000000">
              <w:rPr>
                <w:rFonts w:ascii="Times New Roman" w:cs="Times New Roman" w:eastAsia="Times New Roman" w:hAnsi="Times New Roman"/>
                <w:i w:val="1"/>
                <w:iCs w:val="1"/>
                <w:sz w:val="24"/>
                <w:szCs w:val="24"/>
                <w:rtl w:val="0"/>
              </w:rPr>
              <w:t xml:space="preserve">pretraining</w:t>
            </w:r>
            <w:r w:rsidDel="00000000" w:rsidR="00000000" w:rsidRPr="00000000">
              <w:rPr>
                <w:rFonts w:ascii="Times New Roman" w:cs="Times New Roman" w:eastAsia="Times New Roman" w:hAnsi="Times New Roman"/>
                <w:sz w:val="24"/>
                <w:szCs w:val="24"/>
                <w:rtl w:val="0"/>
              </w:rPr>
              <w:t xml:space="preserve"> objective itself toward reward‑ or preference‑weighted losses, making it natural to view RL (and RL‑style objectives) as first‑class pretraining criteria—precisely the conceptual shift that later solidified into the mainframe topic of RL for LLMs Pre‑training.</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