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1</w:t>
      </w:r>
    </w:p>
    <w:tbl>
      <w:tblPr>
        <w:tblStyle w:val="Table1"/>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2">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3">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Functional‑kernel families for relative positional embeddings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7">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Work like FIRE proposed </w:t>
            </w:r>
            <w:r w:rsidDel="00000000" w:rsidR="00000000" w:rsidRPr="00000000">
              <w:rPr>
                <w:rFonts w:ascii="Times New Roman" w:cs="Times New Roman" w:eastAsia="Times New Roman" w:hAnsi="Times New Roman"/>
                <w:i w:val="1"/>
                <w:iCs w:val="1"/>
                <w:sz w:val="24"/>
                <w:szCs w:val="24"/>
                <w:rtl w:val="0"/>
              </w:rPr>
              <w:t xml:space="preserve">functional</w:t>
            </w:r>
            <w:r w:rsidDel="00000000" w:rsidR="00000000" w:rsidRPr="00000000">
              <w:rPr>
                <w:rFonts w:ascii="Times New Roman" w:cs="Times New Roman" w:eastAsia="Times New Roman" w:hAnsi="Times New Roman"/>
                <w:sz w:val="24"/>
                <w:szCs w:val="24"/>
                <w:rtl w:val="0"/>
              </w:rPr>
              <w:t xml:space="preserve"> relative position encodings that map arbitrary sequence lengths into a bounded domain and then learn a continuous kernel over relative positions, proving that one framework can represent T5 relative bias, ALiBi, Kerple and others, while improving long‑context generalization on language modeling and long-text benchmarks.</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Instead of treating each PE (T5, ALiBi, RoPE, etc.) as a separate “one‑off trick”, this line recast them as </w:t>
            </w:r>
            <w:r w:rsidDel="00000000" w:rsidR="00000000" w:rsidRPr="00000000">
              <w:rPr>
                <w:rFonts w:ascii="Times New Roman" w:cs="Times New Roman" w:eastAsia="Times New Roman" w:hAnsi="Times New Roman"/>
                <w:i w:val="1"/>
                <w:iCs w:val="1"/>
                <w:sz w:val="24"/>
                <w:szCs w:val="24"/>
                <w:rtl w:val="0"/>
              </w:rPr>
              <w:t xml:space="preserve">instances of a broader functional family</w:t>
            </w:r>
            <w:r w:rsidDel="00000000" w:rsidR="00000000" w:rsidRPr="00000000">
              <w:rPr>
                <w:rFonts w:ascii="Times New Roman" w:cs="Times New Roman" w:eastAsia="Times New Roman" w:hAnsi="Times New Roman"/>
                <w:sz w:val="24"/>
                <w:szCs w:val="24"/>
                <w:rtl w:val="0"/>
              </w:rPr>
              <w:t xml:space="preserve">, implicitly defining a design space of position embedding types. That shift—from individual schemes to a unifying functional parameterization—underpins the later framing of Position Embedding Types as structured families (kernel‑based, bias‑based, rotary, etc.) that can be mixed, compared, and searched.</w:t>
            </w:r>
          </w:p>
        </w:tc>
      </w:tr>
    </w:tbl>
    <w:p w:rsidR="00000000" w:rsidDel="00000000" w:rsidP="00000000" w:rsidRDefault="00000000" w:rsidRPr="00000000" w14:paraId="0000000A">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B">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2</w:t>
      </w:r>
    </w:p>
    <w:tbl>
      <w:tblPr>
        <w:tblStyle w:val="Table2"/>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55"/>
        <w:gridCol w:w="7290"/>
        <w:tblGridChange w:id="0">
          <w:tblGrid>
            <w:gridCol w:w="1755"/>
            <w:gridCol w:w="729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C">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D">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0F">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RoPE-scaling families for long-context extrapolation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1">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A cluster of methods (Position Interpolation, NTK‑aware scaling, Adjusted Base Frequency, YaRN, SBA‑RoPE) all modify </w:t>
            </w:r>
            <w:r w:rsidDel="00000000" w:rsidR="00000000" w:rsidRPr="00000000">
              <w:rPr>
                <w:rFonts w:ascii="Times New Roman" w:cs="Times New Roman" w:eastAsia="Times New Roman" w:hAnsi="Times New Roman"/>
                <w:i w:val="1"/>
                <w:iCs w:val="1"/>
                <w:sz w:val="24"/>
                <w:szCs w:val="24"/>
                <w:rtl w:val="0"/>
              </w:rPr>
              <w:t xml:space="preserve">how rotary embeddings encode positions</w:t>
            </w:r>
            <w:r w:rsidDel="00000000" w:rsidR="00000000" w:rsidRPr="00000000">
              <w:rPr>
                <w:rFonts w:ascii="Times New Roman" w:cs="Times New Roman" w:eastAsia="Times New Roman" w:hAnsi="Times New Roman"/>
                <w:sz w:val="24"/>
                <w:szCs w:val="24"/>
                <w:rtl w:val="0"/>
              </w:rPr>
              <w:t xml:space="preserve">—by linearly interpolating indices, rescaling the base frequency, or segment‑wise adjusting RoPE bases—to push RoPE‑based LLMs from 2–4k contexts to 32k+ and beyond with little or no extra training.</w:t>
            </w:r>
            <w:r w:rsidDel="00000000" w:rsidR="00000000" w:rsidRPr="00000000">
              <w:rPr>
                <w:rtl w:val="0"/>
              </w:rPr>
            </w:r>
          </w:p>
        </w:tc>
      </w:tr>
      <w:tr>
        <w:trPr>
          <w:cantSplit w:val="0"/>
          <w:trHeight w:val="2010"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long‑known problem—RoPE models breaking beyond their trained context length—was solved not by new architectures but by </w:t>
            </w:r>
            <w:r w:rsidDel="00000000" w:rsidR="00000000" w:rsidRPr="00000000">
              <w:rPr>
                <w:rFonts w:ascii="Times New Roman" w:cs="Times New Roman" w:eastAsia="Times New Roman" w:hAnsi="Times New Roman"/>
                <w:i w:val="1"/>
                <w:iCs w:val="1"/>
                <w:sz w:val="24"/>
                <w:szCs w:val="24"/>
                <w:rtl w:val="0"/>
              </w:rPr>
              <w:t xml:space="preserve">families of rotary variants</w:t>
            </w:r>
            <w:r w:rsidDel="00000000" w:rsidR="00000000" w:rsidRPr="00000000">
              <w:rPr>
                <w:rFonts w:ascii="Times New Roman" w:cs="Times New Roman" w:eastAsia="Times New Roman" w:hAnsi="Times New Roman"/>
                <w:sz w:val="24"/>
                <w:szCs w:val="24"/>
                <w:rtl w:val="0"/>
              </w:rPr>
              <w:t xml:space="preserve"> (interpolated, NTK‑scaled, segmented). This made “which rotary‑type PE are you using?” a first‑class design choice, and helped crystallize Position Embedding Types as a taxonomy where “plain RoPE” is just one member alongside scaled, interpolated, and segmented RoPE families.</w:t>
            </w:r>
          </w:p>
        </w:tc>
      </w:tr>
    </w:tbl>
    <w:p w:rsidR="00000000" w:rsidDel="00000000" w:rsidP="00000000" w:rsidRDefault="00000000" w:rsidRPr="00000000" w14:paraId="00000014">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5">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3</w:t>
      </w:r>
    </w:p>
    <w:tbl>
      <w:tblPr>
        <w:tblStyle w:val="Table3"/>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05"/>
        <w:gridCol w:w="7140"/>
        <w:tblGridChange w:id="0">
          <w:tblGrid>
            <w:gridCol w:w="1905"/>
            <w:gridCol w:w="714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6">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7">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9">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Bilevel / multi-scale position encodings splitting local and segment-level positions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B">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Bilevel Positional Encoding (BiPE) leveraged natural segmentation in text and assigned </w:t>
            </w:r>
            <w:r w:rsidDel="00000000" w:rsidR="00000000" w:rsidRPr="00000000">
              <w:rPr>
                <w:rFonts w:ascii="Times New Roman" w:cs="Times New Roman" w:eastAsia="Times New Roman" w:hAnsi="Times New Roman"/>
                <w:i w:val="1"/>
                <w:iCs w:val="1"/>
                <w:sz w:val="24"/>
                <w:szCs w:val="24"/>
                <w:rtl w:val="0"/>
              </w:rPr>
              <w:t xml:space="preserve">two</w:t>
            </w:r>
            <w:r w:rsidDel="00000000" w:rsidR="00000000" w:rsidRPr="00000000">
              <w:rPr>
                <w:rFonts w:ascii="Times New Roman" w:cs="Times New Roman" w:eastAsia="Times New Roman" w:hAnsi="Times New Roman"/>
                <w:sz w:val="24"/>
                <w:szCs w:val="24"/>
                <w:rtl w:val="0"/>
              </w:rPr>
              <w:t xml:space="preserve"> position channels: an intra‑segment absolute encoding and an inter‑segment relative encoding, showing theoretically and empirically that this disentangling improves length extrapolation across diverse text modalities.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1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BiPE demonstrated that mixing </w:t>
            </w:r>
            <w:r w:rsidDel="00000000" w:rsidR="00000000" w:rsidRPr="00000000">
              <w:rPr>
                <w:rFonts w:ascii="Times New Roman" w:cs="Times New Roman" w:eastAsia="Times New Roman" w:hAnsi="Times New Roman"/>
                <w:i w:val="1"/>
                <w:iCs w:val="1"/>
                <w:sz w:val="24"/>
                <w:szCs w:val="24"/>
                <w:rtl w:val="0"/>
              </w:rPr>
              <w:t xml:space="preserve">different kinds</w:t>
            </w:r>
            <w:r w:rsidDel="00000000" w:rsidR="00000000" w:rsidRPr="00000000">
              <w:rPr>
                <w:rFonts w:ascii="Times New Roman" w:cs="Times New Roman" w:eastAsia="Times New Roman" w:hAnsi="Times New Roman"/>
                <w:sz w:val="24"/>
                <w:szCs w:val="24"/>
                <w:rtl w:val="0"/>
              </w:rPr>
              <w:t xml:space="preserve"> of PE (absolute vs relative, local vs global) in structured ways can beat any single scheme, suggesting “multi‑channel positional types” as a powerful new solution style. That directly feeds into today’s Position Embedding Types framing, where architectures can choose among single‑scale, multi‑scale, and hybrid positional channels rather than a monolithic encoding.</w:t>
            </w:r>
          </w:p>
        </w:tc>
      </w:tr>
    </w:tbl>
    <w:p w:rsidR="00000000" w:rsidDel="00000000" w:rsidP="00000000" w:rsidRDefault="00000000" w:rsidRPr="00000000" w14:paraId="0000001E">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1F">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4</w:t>
      </w:r>
    </w:p>
    <w:tbl>
      <w:tblPr>
        <w:tblStyle w:val="Table4"/>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15"/>
        <w:gridCol w:w="7230"/>
        <w:tblGridChange w:id="0">
          <w:tblGrid>
            <w:gridCol w:w="1815"/>
            <w:gridCol w:w="723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0">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1">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2">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3">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 and context-adaptive positional encodings</w:t>
            </w:r>
          </w:p>
        </w:tc>
      </w:tr>
      <w:tr>
        <w:trPr>
          <w:cantSplit w:val="0"/>
          <w:trHeight w:val="145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(2024)</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5">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Methods like DAPE argued that standard absolute/relative PEs are </w:t>
            </w:r>
            <w:r w:rsidDel="00000000" w:rsidR="00000000" w:rsidRPr="00000000">
              <w:rPr>
                <w:rFonts w:ascii="Times New Roman" w:cs="Times New Roman" w:eastAsia="Times New Roman" w:hAnsi="Times New Roman"/>
                <w:i w:val="1"/>
                <w:iCs w:val="1"/>
                <w:sz w:val="24"/>
                <w:szCs w:val="24"/>
                <w:rtl w:val="0"/>
              </w:rPr>
              <w:t xml:space="preserve">frozen</w:t>
            </w:r>
            <w:r w:rsidDel="00000000" w:rsidR="00000000" w:rsidRPr="00000000">
              <w:rPr>
                <w:rFonts w:ascii="Times New Roman" w:cs="Times New Roman" w:eastAsia="Times New Roman" w:hAnsi="Times New Roman"/>
                <w:sz w:val="24"/>
                <w:szCs w:val="24"/>
                <w:rtl w:val="0"/>
              </w:rPr>
              <w:t xml:space="preserve"> after training and proposed context‑adaptive and data‑adaptive PEs that dynamically adjust based on input content and attention patterns, significantly improving length extrapolation and robustness on long‑sequence tasks.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These works turned “position embedding” from a static lookup into a </w:t>
            </w:r>
            <w:r w:rsidDel="00000000" w:rsidR="00000000" w:rsidRPr="00000000">
              <w:rPr>
                <w:rFonts w:ascii="Times New Roman" w:cs="Times New Roman" w:eastAsia="Times New Roman" w:hAnsi="Times New Roman"/>
                <w:i w:val="1"/>
                <w:iCs w:val="1"/>
                <w:sz w:val="24"/>
                <w:szCs w:val="24"/>
                <w:rtl w:val="0"/>
              </w:rPr>
              <w:t xml:space="preserve">learned function of context</w:t>
            </w:r>
            <w:r w:rsidDel="00000000" w:rsidR="00000000" w:rsidRPr="00000000">
              <w:rPr>
                <w:rFonts w:ascii="Times New Roman" w:cs="Times New Roman" w:eastAsia="Times New Roman" w:hAnsi="Times New Roman"/>
                <w:sz w:val="24"/>
                <w:szCs w:val="24"/>
                <w:rtl w:val="0"/>
              </w:rPr>
              <w:t xml:space="preserve">, introducing a new axis—static vs adaptive PE types. That shift laid the groundwork for treating Position Embedding Types not just as absolute vs relative vs rotary, but also as fixed vs context‑adaptive schemes tuned to the data distribution.</w:t>
            </w:r>
          </w:p>
        </w:tc>
      </w:tr>
    </w:tbl>
    <w:p w:rsidR="00000000" w:rsidDel="00000000" w:rsidP="00000000" w:rsidRDefault="00000000" w:rsidRPr="00000000" w14:paraId="00000028">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9">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5</w:t>
      </w:r>
    </w:p>
    <w:tbl>
      <w:tblPr>
        <w:tblStyle w:val="Table5"/>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725"/>
        <w:gridCol w:w="7320"/>
        <w:tblGridChange w:id="0">
          <w:tblGrid>
            <w:gridCol w:w="1725"/>
            <w:gridCol w:w="7320"/>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A">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B">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61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C">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D">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Positional-encoding-free and positional-attention variants as alternative types</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E">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2F">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Systematic studies on length generalization (e.g., NeurIPS 2023 work showing NoPE transformers) compared APE, T5 relative bias, ALiBi, RoPE, and </w:t>
            </w:r>
            <w:r w:rsidDel="00000000" w:rsidR="00000000" w:rsidRPr="00000000">
              <w:rPr>
                <w:rFonts w:ascii="Times New Roman" w:cs="Times New Roman" w:eastAsia="Times New Roman" w:hAnsi="Times New Roman"/>
                <w:i w:val="1"/>
                <w:iCs w:val="1"/>
                <w:sz w:val="24"/>
                <w:szCs w:val="24"/>
                <w:rtl w:val="0"/>
              </w:rPr>
              <w:t xml:space="preserve">no explicit positional embeddings</w:t>
            </w:r>
            <w:r w:rsidDel="00000000" w:rsidR="00000000" w:rsidRPr="00000000">
              <w:rPr>
                <w:rFonts w:ascii="Times New Roman" w:cs="Times New Roman" w:eastAsia="Times New Roman" w:hAnsi="Times New Roman"/>
                <w:sz w:val="24"/>
                <w:szCs w:val="24"/>
                <w:rtl w:val="0"/>
              </w:rPr>
              <w:t xml:space="preserve"> over a battery of reasoning tasks, finding that NoPE often outperforms popular PEs and theoretically can emulate both absolute and relative schemes.</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0">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1">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By showing that “no explicit PE” is itself a powerful </w:t>
            </w:r>
            <w:r w:rsidDel="00000000" w:rsidR="00000000" w:rsidRPr="00000000">
              <w:rPr>
                <w:rFonts w:ascii="Times New Roman" w:cs="Times New Roman" w:eastAsia="Times New Roman" w:hAnsi="Times New Roman"/>
                <w:i w:val="1"/>
                <w:iCs w:val="1"/>
                <w:sz w:val="24"/>
                <w:szCs w:val="24"/>
                <w:rtl w:val="0"/>
              </w:rPr>
              <w:t xml:space="preserve">positional regime</w:t>
            </w:r>
            <w:r w:rsidDel="00000000" w:rsidR="00000000" w:rsidRPr="00000000">
              <w:rPr>
                <w:rFonts w:ascii="Times New Roman" w:cs="Times New Roman" w:eastAsia="Times New Roman" w:hAnsi="Times New Roman"/>
                <w:sz w:val="24"/>
                <w:szCs w:val="24"/>
                <w:rtl w:val="0"/>
              </w:rPr>
              <w:t xml:space="preserve">, these results expanded the perceived option set: instead of picking among a few encodings, designers now had to consider “NoPE” and positional‑attention variants as distinct Position Embedding Types. That broadened solution space (explicit vs implicit PE) is central to the modern architectural taxonomy around position embeddings.</w:t>
            </w:r>
          </w:p>
        </w:tc>
      </w:tr>
    </w:tbl>
    <w:p w:rsidR="00000000" w:rsidDel="00000000" w:rsidP="00000000" w:rsidRDefault="00000000" w:rsidRPr="00000000" w14:paraId="00000032">
      <w:pPr>
        <w:spacing w:after="16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3">
      <w:pPr>
        <w:spacing w:after="16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Signal 6</w:t>
      </w:r>
    </w:p>
    <w:tbl>
      <w:tblPr>
        <w:tblStyle w:val="Table6"/>
        <w:tblW w:w="904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950"/>
        <w:gridCol w:w="7095"/>
        <w:tblGridChange w:id="0">
          <w:tblGrid>
            <w:gridCol w:w="1950"/>
            <w:gridCol w:w="7095"/>
          </w:tblGrid>
        </w:tblGridChange>
      </w:tblGrid>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4">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Field</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5">
            <w:pPr>
              <w:jc w:val="cente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Value</w:t>
            </w:r>
          </w:p>
        </w:tc>
      </w:tr>
      <w:tr>
        <w:trPr>
          <w:cantSplit w:val="0"/>
          <w:trHeight w:val="34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6">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Weak Signal</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7">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Positional-encoding-centric taxonomies for length extrapolation</w:t>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8">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What it was (2023)</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9">
            <w:pPr>
              <w:rPr>
                <w:rFonts w:ascii="Times New Roman" w:cs="Times New Roman" w:eastAsia="Times New Roman" w:hAnsi="Times New Roman"/>
                <w:color w:val="0000ff"/>
                <w:sz w:val="24"/>
                <w:szCs w:val="24"/>
                <w:u w:val="single"/>
              </w:rPr>
            </w:pPr>
            <w:r w:rsidDel="00000000" w:rsidR="00000000" w:rsidRPr="00000000">
              <w:rPr>
                <w:rFonts w:ascii="Times New Roman" w:cs="Times New Roman" w:eastAsia="Times New Roman" w:hAnsi="Times New Roman"/>
                <w:sz w:val="24"/>
                <w:szCs w:val="24"/>
                <w:rtl w:val="0"/>
              </w:rPr>
              <w:t xml:space="preserve">The “Length Extrapolation of Transformers” survey organized dozens of methods into a unified view centered on positional encoding—cataloguing extrapolatable PEs, position‑interpolation tricks, randomized position methods, and their impact on long‑context behavior, and explicitly arguing that PE choice is the </w:t>
            </w:r>
            <w:r w:rsidDel="00000000" w:rsidR="00000000" w:rsidRPr="00000000">
              <w:rPr>
                <w:rFonts w:ascii="Times New Roman" w:cs="Times New Roman" w:eastAsia="Times New Roman" w:hAnsi="Times New Roman"/>
                <w:i w:val="1"/>
                <w:iCs w:val="1"/>
                <w:sz w:val="24"/>
                <w:szCs w:val="24"/>
                <w:rtl w:val="0"/>
              </w:rPr>
              <w:t xml:space="preserve">primary</w:t>
            </w:r>
            <w:r w:rsidDel="00000000" w:rsidR="00000000" w:rsidRPr="00000000">
              <w:rPr>
                <w:rFonts w:ascii="Times New Roman" w:cs="Times New Roman" w:eastAsia="Times New Roman" w:hAnsi="Times New Roman"/>
                <w:sz w:val="24"/>
                <w:szCs w:val="24"/>
                <w:rtl w:val="0"/>
              </w:rPr>
              <w:t xml:space="preserve"> factor in length extrapolation.</w:t>
            </w:r>
            <w:r w:rsidDel="00000000" w:rsidR="00000000" w:rsidRPr="00000000">
              <w:rPr>
                <w:rtl w:val="0"/>
              </w:rPr>
            </w:r>
          </w:p>
        </w:tc>
      </w:tr>
      <w:tr>
        <w:trPr>
          <w:cantSplit w:val="0"/>
          <w:trHeight w:val="1725" w:hRule="atLeast"/>
          <w:tblHeader w:val="0"/>
        </w:trPr>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A">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Why it was a solution-space weak signal for Position Embedding Types</w:t>
            </w:r>
          </w:p>
        </w:tc>
        <w:tc>
          <w:tcPr>
            <w:tcBorders>
              <w:top w:color="000000" w:space="0" w:sz="6" w:val="single"/>
              <w:left w:color="000000" w:space="0" w:sz="6" w:val="single"/>
              <w:bottom w:color="000000" w:space="0" w:sz="6" w:val="single"/>
              <w:right w:color="000000" w:space="0" w:sz="6" w:val="single"/>
            </w:tcBorders>
            <w:tcMar>
              <w:top w:w="20.0" w:type="dxa"/>
              <w:left w:w="20.0" w:type="dxa"/>
              <w:bottom w:w="20.0" w:type="dxa"/>
              <w:right w:w="20.0" w:type="dxa"/>
            </w:tcMar>
            <w:vAlign w:val="top"/>
          </w:tcPr>
          <w:p w:rsidR="00000000" w:rsidDel="00000000" w:rsidP="00000000" w:rsidRDefault="00000000" w:rsidRPr="00000000" w14:paraId="0000003B">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While surveys are not algorithms, this one </w:t>
            </w:r>
            <w:r w:rsidDel="00000000" w:rsidR="00000000" w:rsidRPr="00000000">
              <w:rPr>
                <w:rFonts w:ascii="Times New Roman" w:cs="Times New Roman" w:eastAsia="Times New Roman" w:hAnsi="Times New Roman"/>
                <w:i w:val="1"/>
                <w:iCs w:val="1"/>
                <w:sz w:val="24"/>
                <w:szCs w:val="24"/>
                <w:rtl w:val="0"/>
              </w:rPr>
              <w:t xml:space="preserve">reframed the solution landscape</w:t>
            </w:r>
            <w:r w:rsidDel="00000000" w:rsidR="00000000" w:rsidRPr="00000000">
              <w:rPr>
                <w:rFonts w:ascii="Times New Roman" w:cs="Times New Roman" w:eastAsia="Times New Roman" w:hAnsi="Times New Roman"/>
                <w:sz w:val="24"/>
                <w:szCs w:val="24"/>
                <w:rtl w:val="0"/>
              </w:rPr>
              <w:t xml:space="preserve"> around families of PEs and their extrapolation behavior, effectively introducing “position embedding type” as the organizing variable. That conceptual consolidation is what later made Position Embedding Types a named mainframe topic, with design and search happening over PE families rather than in an ad‑hoc, per‑paper way.</w:t>
            </w:r>
          </w:p>
        </w:tc>
      </w:tr>
    </w:tbl>
    <w:p w:rsidR="00000000" w:rsidDel="00000000" w:rsidP="00000000" w:rsidRDefault="00000000" w:rsidRPr="00000000" w14:paraId="0000003C">
      <w:pPr>
        <w:spacing w:after="160" w:line="301.09090909090907" w:lineRule="auto"/>
        <w:rPr>
          <w:sz w:val="24"/>
          <w:szCs w:val="24"/>
        </w:rPr>
      </w:pPr>
      <w:r w:rsidDel="00000000" w:rsidR="00000000" w:rsidRPr="00000000">
        <w:rPr>
          <w:sz w:val="24"/>
          <w:szCs w:val="24"/>
          <w:rtl w:val="0"/>
        </w:rPr>
        <w:t xml:space="preserve"> </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