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80"/>
        <w:tblGridChange w:id="0">
          <w:tblGrid>
            <w:gridCol w:w="2265"/>
            <w:gridCol w:w="67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summary‑vector soft prompts for long‑context LMs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“auto‑compressors” trained LMs to recursively turn long sequences into a small set of </w:t>
            </w:r>
            <w:r w:rsidDel="00000000" w:rsidR="00000000" w:rsidRPr="00000000">
              <w:rPr>
                <w:rFonts w:ascii="Times New Roman" w:cs="Times New Roman" w:eastAsia="Times New Roman" w:hAnsi="Times New Roman"/>
                <w:i w:val="1"/>
                <w:iCs w:val="1"/>
                <w:sz w:val="24"/>
                <w:szCs w:val="24"/>
                <w:rtl w:val="0"/>
              </w:rPr>
              <w:t xml:space="preserve">summary vectors</w:t>
            </w:r>
            <w:r w:rsidDel="00000000" w:rsidR="00000000" w:rsidRPr="00000000">
              <w:rPr>
                <w:rFonts w:ascii="Times New Roman" w:cs="Times New Roman" w:eastAsia="Times New Roman" w:hAnsi="Times New Roman"/>
                <w:sz w:val="24"/>
                <w:szCs w:val="24"/>
                <w:rtl w:val="0"/>
              </w:rPr>
              <w:t xml:space="preserve"> that are then fed back to the model as key–value prefixes, effectively acting as short continuous prompts that stand in for entire chunks of text.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long‑context / quadratic attention problem was well known, but this line of work proposed a new </w:t>
            </w:r>
            <w:r w:rsidDel="00000000" w:rsidR="00000000" w:rsidRPr="00000000">
              <w:rPr>
                <w:rFonts w:ascii="Times New Roman" w:cs="Times New Roman" w:eastAsia="Times New Roman" w:hAnsi="Times New Roman"/>
                <w:i w:val="1"/>
                <w:iCs w:val="1"/>
                <w:sz w:val="24"/>
                <w:szCs w:val="24"/>
                <w:rtl w:val="0"/>
              </w:rPr>
              <w:t xml:space="preserve">solution form</w:t>
            </w:r>
            <w:r w:rsidDel="00000000" w:rsidR="00000000" w:rsidRPr="00000000">
              <w:rPr>
                <w:rFonts w:ascii="Times New Roman" w:cs="Times New Roman" w:eastAsia="Times New Roman" w:hAnsi="Times New Roman"/>
                <w:sz w:val="24"/>
                <w:szCs w:val="24"/>
                <w:rtl w:val="0"/>
              </w:rPr>
              <w:t xml:space="preserve">: representing prior context as a handful of dense, trainable prefix vectors instead of raw tokens, anticipating the broader idea of compressing prompts into soft latent tokens rather than only pruning or summarizing them in natural language.</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795"/>
        <w:tblGridChange w:id="0">
          <w:tblGrid>
            <w:gridCol w:w="2250"/>
            <w:gridCol w:w="67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In‑context autoencoding into compact memory‑slot prompts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In‑context Autoencoder (ICAE) compressed long contexts into a small number of </w:t>
            </w:r>
            <w:r w:rsidDel="00000000" w:rsidR="00000000" w:rsidRPr="00000000">
              <w:rPr>
                <w:rFonts w:ascii="Times New Roman" w:cs="Times New Roman" w:eastAsia="Times New Roman" w:hAnsi="Times New Roman"/>
                <w:i w:val="1"/>
                <w:iCs w:val="1"/>
                <w:sz w:val="24"/>
                <w:szCs w:val="24"/>
                <w:rtl w:val="0"/>
              </w:rPr>
              <w:t xml:space="preserve">memory slots</w:t>
            </w:r>
            <w:r w:rsidDel="00000000" w:rsidR="00000000" w:rsidRPr="00000000">
              <w:rPr>
                <w:rFonts w:ascii="Times New Roman" w:cs="Times New Roman" w:eastAsia="Times New Roman" w:hAnsi="Times New Roman"/>
                <w:sz w:val="24"/>
                <w:szCs w:val="24"/>
                <w:rtl w:val="0"/>
              </w:rPr>
              <w:t xml:space="preserve">—continuous vectors learned by an encoder adapted from the base LLM via LoRA—on which the original LLM is then conditioned as if they were a short context.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of handling long inputs efficiently was already recognized, but ICAE introduced the idea of training a dedicated encoder–decoder pair where the decoder is the LLM itself and the encoder outputs a fixed number of soft “slots”; this instantiated a concrete recipe for treating soft prompt compression as an autoencoding problem over continuous prompt embeddings.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Gist‑token compression via attention‑masked soft prompt slots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Gisting trained LMs to append a few special “gist tokens” after a prompt and modified the attention mask so that the model must route information from the full prompt through these tokens, forcing them to become compressed soft representations that can be cached and reused.</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community already knew that repeatedly re‑encoding long instructions is expensive; the novel move here was to use architectural masking and learned soft tokens as </w:t>
            </w:r>
            <w:r w:rsidDel="00000000" w:rsidR="00000000" w:rsidRPr="00000000">
              <w:rPr>
                <w:rFonts w:ascii="Times New Roman" w:cs="Times New Roman" w:eastAsia="Times New Roman" w:hAnsi="Times New Roman"/>
                <w:i w:val="1"/>
                <w:iCs w:val="1"/>
                <w:sz w:val="24"/>
                <w:szCs w:val="24"/>
                <w:rtl w:val="0"/>
              </w:rPr>
              <w:t xml:space="preserve">bottleneck prompts</w:t>
            </w:r>
            <w:r w:rsidDel="00000000" w:rsidR="00000000" w:rsidRPr="00000000">
              <w:rPr>
                <w:rFonts w:ascii="Times New Roman" w:cs="Times New Roman" w:eastAsia="Times New Roman" w:hAnsi="Times New Roman"/>
                <w:sz w:val="24"/>
                <w:szCs w:val="24"/>
                <w:rtl w:val="0"/>
              </w:rPr>
              <w:t xml:space="preserve"> that cache task instructions, a clear early instance of compressing prompts directly into continuous prompt tokens rather than operating only on text.</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Task‑conditioned continuous prompts distilled from discrete templates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Prompt distillation for LLM‑based recommendation took long, discrete task templates and trained an LLM to replace them with a small set of task‑specific continuous prompt vectors, keeping only these vectors at inference time to guide generation.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and ambiguity of long textual prompts were well understood, but this work showed that you could </w:t>
            </w:r>
            <w:r w:rsidDel="00000000" w:rsidR="00000000" w:rsidRPr="00000000">
              <w:rPr>
                <w:rFonts w:ascii="Times New Roman" w:cs="Times New Roman" w:eastAsia="Times New Roman" w:hAnsi="Times New Roman"/>
                <w:i w:val="1"/>
                <w:iCs w:val="1"/>
                <w:sz w:val="24"/>
                <w:szCs w:val="24"/>
                <w:rtl w:val="0"/>
              </w:rPr>
              <w:t xml:space="preserve">distill</w:t>
            </w:r>
            <w:r w:rsidDel="00000000" w:rsidR="00000000" w:rsidRPr="00000000">
              <w:rPr>
                <w:rFonts w:ascii="Times New Roman" w:cs="Times New Roman" w:eastAsia="Times New Roman" w:hAnsi="Times New Roman"/>
                <w:sz w:val="24"/>
                <w:szCs w:val="24"/>
                <w:rtl w:val="0"/>
              </w:rPr>
              <w:t xml:space="preserve"> their effect into short, task‑specific soft prompts while preserving performance, foreshadowing general strategies where “what the prompt means” is stored in a compressed continuous space instead of in a long natural‑language string.</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summarization‑plus‑soft‑prompt context compression pipelines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SoftPromptComp framework combined natural‑language summarization with dynamically generated soft prompts and a weighting mechanism, yielding a concise representation of long contexts that mixes human‑readable summaries with dense soft prompt vectors tailored to a downstream LLM.</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Long‑context efficiency and faithfulness were known issues; this work proposed a concrete hybrid pipeline where soft prompts are not standalone but </w:t>
            </w:r>
            <w:r w:rsidDel="00000000" w:rsidR="00000000" w:rsidRPr="00000000">
              <w:rPr>
                <w:rFonts w:ascii="Times New Roman" w:cs="Times New Roman" w:eastAsia="Times New Roman" w:hAnsi="Times New Roman"/>
                <w:i w:val="1"/>
                <w:iCs w:val="1"/>
                <w:sz w:val="24"/>
                <w:szCs w:val="24"/>
                <w:rtl w:val="0"/>
              </w:rPr>
              <w:t xml:space="preserve">augment</w:t>
            </w:r>
            <w:r w:rsidDel="00000000" w:rsidR="00000000" w:rsidRPr="00000000">
              <w:rPr>
                <w:rFonts w:ascii="Times New Roman" w:cs="Times New Roman" w:eastAsia="Times New Roman" w:hAnsi="Times New Roman"/>
                <w:sz w:val="24"/>
                <w:szCs w:val="24"/>
                <w:rtl w:val="0"/>
              </w:rPr>
              <w:t xml:space="preserve"> textual summaries, suggesting a broader design space of multi‑component soft prompt compression systems that jointly optimize informativeness and latency.</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80"/>
        <w:tblGridChange w:id="0">
          <w:tblGrid>
            <w:gridCol w:w="2265"/>
            <w:gridCol w:w="67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Auto‑encoded context embeddings as reusable soft prompts for RAG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COCOM for Retrieval‑Augmented Generation compressed multiple retrieved documents into a small set of </w:t>
            </w:r>
            <w:r w:rsidDel="00000000" w:rsidR="00000000" w:rsidRPr="00000000">
              <w:rPr>
                <w:rFonts w:ascii="Times New Roman" w:cs="Times New Roman" w:eastAsia="Times New Roman" w:hAnsi="Times New Roman"/>
                <w:i w:val="1"/>
                <w:iCs w:val="1"/>
                <w:sz w:val="24"/>
                <w:szCs w:val="24"/>
                <w:rtl w:val="0"/>
              </w:rPr>
              <w:t xml:space="preserve">context embeddings</w:t>
            </w:r>
            <w:r w:rsidDel="00000000" w:rsidR="00000000" w:rsidRPr="00000000">
              <w:rPr>
                <w:rFonts w:ascii="Times New Roman" w:cs="Times New Roman" w:eastAsia="Times New Roman" w:hAnsi="Times New Roman"/>
                <w:sz w:val="24"/>
                <w:szCs w:val="24"/>
                <w:rtl w:val="0"/>
              </w:rPr>
              <w:t xml:space="preserve"> learned via autoencoding and language‑modeling objectives, then conditioned the LLM on these embeddings instead of the raw text to answer questions.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Soft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systems already suffered from long, multi‑document contexts; COCOM’s innovation was to expose document information only through a handful of continuous vectors that the LLM can reuse across queries, directly instantiating the idea of treating compressed contexts as soft prompts rather than as truncated or heuristically filtered text.</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