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Self‑reflective retrieval control in RAG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self‑reflective RAG frameworks trained a single LLM to </w:t>
            </w:r>
            <w:r w:rsidDel="00000000" w:rsidR="00000000" w:rsidRPr="00000000">
              <w:rPr>
                <w:rFonts w:ascii="Times New Roman" w:cs="Times New Roman" w:eastAsia="Times New Roman" w:hAnsi="Times New Roman"/>
                <w:i w:val="1"/>
                <w:iCs w:val="1"/>
                <w:sz w:val="24"/>
                <w:szCs w:val="24"/>
                <w:rtl w:val="0"/>
              </w:rPr>
              <w:t xml:space="preserve">decide when to retrieve, when to generate, and when to critique its own answer</w:t>
            </w:r>
            <w:r w:rsidDel="00000000" w:rsidR="00000000" w:rsidRPr="00000000">
              <w:rPr>
                <w:rFonts w:ascii="Times New Roman" w:cs="Times New Roman" w:eastAsia="Times New Roman" w:hAnsi="Times New Roman"/>
                <w:sz w:val="24"/>
                <w:szCs w:val="24"/>
                <w:rtl w:val="0"/>
              </w:rPr>
              <w:t xml:space="preserve">, using special “reflection” tokens so the model can request passages, assess them, and revise outputs within one loop.</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Hallucinations and noisy retrieval were well-known problems; the new idea was to treat retrieval and criticism as </w:t>
            </w:r>
            <w:r w:rsidDel="00000000" w:rsidR="00000000" w:rsidRPr="00000000">
              <w:rPr>
                <w:rFonts w:ascii="Times New Roman" w:cs="Times New Roman" w:eastAsia="Times New Roman" w:hAnsi="Times New Roman"/>
                <w:i w:val="1"/>
                <w:iCs w:val="1"/>
                <w:sz w:val="24"/>
                <w:szCs w:val="24"/>
                <w:rtl w:val="0"/>
              </w:rPr>
              <w:t xml:space="preserve">internal, controllable behaviors</w:t>
            </w:r>
            <w:r w:rsidDel="00000000" w:rsidR="00000000" w:rsidRPr="00000000">
              <w:rPr>
                <w:rFonts w:ascii="Times New Roman" w:cs="Times New Roman" w:eastAsia="Times New Roman" w:hAnsi="Times New Roman"/>
                <w:sz w:val="24"/>
                <w:szCs w:val="24"/>
                <w:rtl w:val="0"/>
              </w:rPr>
              <w:t xml:space="preserve"> of the model itself rather than fixed external steps, foreshadowing today’s self‑correcting, agentic RAG stacks that dynamically trigger retrieval and post‑hoc verification.</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confidence‑triggered retrieval scheduling during generation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Active RAG and FLARE‑style methods in 2023 modelled retrieval as a </w:t>
            </w:r>
            <w:r w:rsidDel="00000000" w:rsidR="00000000" w:rsidRPr="00000000">
              <w:rPr>
                <w:rFonts w:ascii="Times New Roman" w:cs="Times New Roman" w:eastAsia="Times New Roman" w:hAnsi="Times New Roman"/>
                <w:i w:val="1"/>
                <w:iCs w:val="1"/>
                <w:sz w:val="24"/>
                <w:szCs w:val="24"/>
                <w:rtl w:val="0"/>
              </w:rPr>
              <w:t xml:space="preserve">sequential decision process</w:t>
            </w:r>
            <w:r w:rsidDel="00000000" w:rsidR="00000000" w:rsidRPr="00000000">
              <w:rPr>
                <w:rFonts w:ascii="Times New Roman" w:cs="Times New Roman" w:eastAsia="Times New Roman" w:hAnsi="Times New Roman"/>
                <w:sz w:val="24"/>
                <w:szCs w:val="24"/>
                <w:rtl w:val="0"/>
              </w:rPr>
              <w:t xml:space="preserve">: the LLM predicts upcoming text, monitors its own uncertainty, and only issues retrieval calls (and updated queries) when confidence drops or new evidence is needed, especially in long‑form generation.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“always‑on” RAG was slow, expensive, and noisy; these methods introduced a new solution pattern—</w:t>
            </w:r>
            <w:r w:rsidDel="00000000" w:rsidR="00000000" w:rsidRPr="00000000">
              <w:rPr>
                <w:rFonts w:ascii="Times New Roman" w:cs="Times New Roman" w:eastAsia="Times New Roman" w:hAnsi="Times New Roman"/>
                <w:i w:val="1"/>
                <w:iCs w:val="1"/>
                <w:sz w:val="24"/>
                <w:szCs w:val="24"/>
                <w:rtl w:val="0"/>
              </w:rPr>
              <w:t xml:space="preserve">retrieval as an adaptive control policy</w:t>
            </w:r>
            <w:r w:rsidDel="00000000" w:rsidR="00000000" w:rsidRPr="00000000">
              <w:rPr>
                <w:rFonts w:ascii="Times New Roman" w:cs="Times New Roman" w:eastAsia="Times New Roman" w:hAnsi="Times New Roman"/>
                <w:sz w:val="24"/>
                <w:szCs w:val="24"/>
                <w:rtl w:val="0"/>
              </w:rPr>
              <w:t xml:space="preserve">—which later became mainstream in streaming chat, multi-turn assistants, and tool‑using agents that interleave reasoning with just‑in‑time retrieval.</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Retrieval‑evaluation‑driven corrective RAG pipelines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Corrective RAG frameworks in 2024 added a </w:t>
            </w:r>
            <w:r w:rsidDel="00000000" w:rsidR="00000000" w:rsidRPr="00000000">
              <w:rPr>
                <w:rFonts w:ascii="Times New Roman" w:cs="Times New Roman" w:eastAsia="Times New Roman" w:hAnsi="Times New Roman"/>
                <w:i w:val="1"/>
                <w:iCs w:val="1"/>
                <w:sz w:val="24"/>
                <w:szCs w:val="24"/>
                <w:rtl w:val="0"/>
              </w:rPr>
              <w:t xml:space="preserve">retrieval evaluator</w:t>
            </w:r>
            <w:r w:rsidDel="00000000" w:rsidR="00000000" w:rsidRPr="00000000">
              <w:rPr>
                <w:rFonts w:ascii="Times New Roman" w:cs="Times New Roman" w:eastAsia="Times New Roman" w:hAnsi="Times New Roman"/>
                <w:sz w:val="24"/>
                <w:szCs w:val="24"/>
                <w:rtl w:val="0"/>
              </w:rPr>
              <w:t xml:space="preserve"> that scores the usefulness and reliability of retrieved documents, and then routes the system to different actions—re‑retrieving, rewriting the query, switching to alternative sources like web search, or falling back to parametric knowledge—when evidence looks weak or misleading.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clear that RAG breaks badly when retrieval is off-target; the new solution was to wrap retrieval in a </w:t>
            </w:r>
            <w:r w:rsidDel="00000000" w:rsidR="00000000" w:rsidRPr="00000000">
              <w:rPr>
                <w:rFonts w:ascii="Times New Roman" w:cs="Times New Roman" w:eastAsia="Times New Roman" w:hAnsi="Times New Roman"/>
                <w:i w:val="1"/>
                <w:iCs w:val="1"/>
                <w:sz w:val="24"/>
                <w:szCs w:val="24"/>
                <w:rtl w:val="0"/>
              </w:rPr>
              <w:t xml:space="preserve">control loop with explicit quality signals</w:t>
            </w:r>
            <w:r w:rsidDel="00000000" w:rsidR="00000000" w:rsidRPr="00000000">
              <w:rPr>
                <w:rFonts w:ascii="Times New Roman" w:cs="Times New Roman" w:eastAsia="Times New Roman" w:hAnsi="Times New Roman"/>
                <w:sz w:val="24"/>
                <w:szCs w:val="24"/>
                <w:rtl w:val="0"/>
              </w:rPr>
              <w:t xml:space="preserve">, which later evolved into today’s production RAG stacks with multi-source fallback, retrieval QA dashboards, and auto‑repair routines that constantly monitor and correct evidence quality.</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425"/>
        <w:tblGridChange w:id="0">
          <w:tblGrid>
            <w:gridCol w:w="1620"/>
            <w:gridCol w:w="74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Graph‑structured retrieval indices for RAG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Starting in 2024, GraphRAG‑style methods built </w:t>
            </w:r>
            <w:r w:rsidDel="00000000" w:rsidR="00000000" w:rsidRPr="00000000">
              <w:rPr>
                <w:rFonts w:ascii="Times New Roman" w:cs="Times New Roman" w:eastAsia="Times New Roman" w:hAnsi="Times New Roman"/>
                <w:i w:val="1"/>
                <w:iCs w:val="1"/>
                <w:sz w:val="24"/>
                <w:szCs w:val="24"/>
                <w:rtl w:val="0"/>
              </w:rPr>
              <w:t xml:space="preserve">knowledge or document graphs</w:t>
            </w:r>
            <w:r w:rsidDel="00000000" w:rsidR="00000000" w:rsidRPr="00000000">
              <w:rPr>
                <w:rFonts w:ascii="Times New Roman" w:cs="Times New Roman" w:eastAsia="Times New Roman" w:hAnsi="Times New Roman"/>
                <w:sz w:val="24"/>
                <w:szCs w:val="24"/>
                <w:rtl w:val="0"/>
              </w:rPr>
              <w:t xml:space="preserve"> from corpora and retrieved </w:t>
            </w:r>
            <w:r w:rsidDel="00000000" w:rsidR="00000000" w:rsidRPr="00000000">
              <w:rPr>
                <w:rFonts w:ascii="Times New Roman" w:cs="Times New Roman" w:eastAsia="Times New Roman" w:hAnsi="Times New Roman"/>
                <w:i w:val="1"/>
                <w:iCs w:val="1"/>
                <w:sz w:val="24"/>
                <w:szCs w:val="24"/>
                <w:rtl w:val="0"/>
              </w:rPr>
              <w:t xml:space="preserve">subgraphs</w:t>
            </w:r>
            <w:r w:rsidDel="00000000" w:rsidR="00000000" w:rsidRPr="00000000">
              <w:rPr>
                <w:rFonts w:ascii="Times New Roman" w:cs="Times New Roman" w:eastAsia="Times New Roman" w:hAnsi="Times New Roman"/>
                <w:sz w:val="24"/>
                <w:szCs w:val="24"/>
                <w:rtl w:val="0"/>
              </w:rPr>
              <w:t xml:space="preserve">—entities plus their relations—instead of flat chunks, so LLMs receive context that reflects narrative structure and multi‑hop relations before answering.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RAG’s difficulty with long, relational, or narrative data was a known issue; graph‑structured retrieval offered a new solution by making </w:t>
            </w:r>
            <w:r w:rsidDel="00000000" w:rsidR="00000000" w:rsidRPr="00000000">
              <w:rPr>
                <w:rFonts w:ascii="Times New Roman" w:cs="Times New Roman" w:eastAsia="Times New Roman" w:hAnsi="Times New Roman"/>
                <w:i w:val="1"/>
                <w:iCs w:val="1"/>
                <w:sz w:val="24"/>
                <w:szCs w:val="24"/>
                <w:rtl w:val="0"/>
              </w:rPr>
              <w:t xml:space="preserve">graphs the substrate of retrieval</w:t>
            </w:r>
            <w:r w:rsidDel="00000000" w:rsidR="00000000" w:rsidRPr="00000000">
              <w:rPr>
                <w:rFonts w:ascii="Times New Roman" w:cs="Times New Roman" w:eastAsia="Times New Roman" w:hAnsi="Times New Roman"/>
                <w:sz w:val="24"/>
                <w:szCs w:val="24"/>
                <w:rtl w:val="0"/>
              </w:rPr>
              <w:t xml:space="preserve">, which later drove mainstream GraphRAG support in cloud platforms and pointed toward “RAG over enterprise knowledge graphs” as a standard deployment pattern.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440"/>
        <w:tblGridChange w:id="0">
          <w:tblGrid>
            <w:gridCol w:w="1605"/>
            <w:gridCol w:w="74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LLM‑based query rewriting and planning layers in front of retrievers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From late 2023 onward, several lines of work trained </w:t>
            </w:r>
            <w:r w:rsidDel="00000000" w:rsidR="00000000" w:rsidRPr="00000000">
              <w:rPr>
                <w:rFonts w:ascii="Times New Roman" w:cs="Times New Roman" w:eastAsia="Times New Roman" w:hAnsi="Times New Roman"/>
                <w:i w:val="1"/>
                <w:iCs w:val="1"/>
                <w:sz w:val="24"/>
                <w:szCs w:val="24"/>
                <w:rtl w:val="0"/>
              </w:rPr>
              <w:t xml:space="preserve">small LMs or planning LMs</w:t>
            </w:r>
            <w:r w:rsidDel="00000000" w:rsidR="00000000" w:rsidRPr="00000000">
              <w:rPr>
                <w:rFonts w:ascii="Times New Roman" w:cs="Times New Roman" w:eastAsia="Times New Roman" w:hAnsi="Times New Roman"/>
                <w:sz w:val="24"/>
                <w:szCs w:val="24"/>
                <w:rtl w:val="0"/>
              </w:rPr>
              <w:t xml:space="preserve"> to rewrite user questions into retrieval‑friendly queries or decomposed sub‑questions, sometimes with reinforcement learning from reader feedback or with KG‑guided planning, instead of sending raw user queries directly to dense/BM25 retrievers.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mismatch between messy natural-language queries and indexable search terms was a long‑recognized bottleneck; inserting a </w:t>
            </w:r>
            <w:r w:rsidDel="00000000" w:rsidR="00000000" w:rsidRPr="00000000">
              <w:rPr>
                <w:rFonts w:ascii="Times New Roman" w:cs="Times New Roman" w:eastAsia="Times New Roman" w:hAnsi="Times New Roman"/>
                <w:i w:val="1"/>
                <w:iCs w:val="1"/>
                <w:sz w:val="24"/>
                <w:szCs w:val="24"/>
                <w:rtl w:val="0"/>
              </w:rPr>
              <w:t xml:space="preserve">learned orchestration layer</w:t>
            </w:r>
            <w:r w:rsidDel="00000000" w:rsidR="00000000" w:rsidRPr="00000000">
              <w:rPr>
                <w:rFonts w:ascii="Times New Roman" w:cs="Times New Roman" w:eastAsia="Times New Roman" w:hAnsi="Times New Roman"/>
                <w:sz w:val="24"/>
                <w:szCs w:val="24"/>
                <w:rtl w:val="0"/>
              </w:rPr>
              <w:t xml:space="preserve">—a planner/rewriter between user and retriever—became a new solution template that underlies today’s query planners, multi‑hop RAG, and decomposition‑based pipelines used in complex QA and analytics.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410"/>
        <w:tblGridChange w:id="0">
          <w:tblGrid>
            <w:gridCol w:w="1635"/>
            <w:gridCol w:w="74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and ranking‑aware optimization of RAG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end‑to‑end RAG optimization methods began treating retrieval choices as </w:t>
            </w:r>
            <w:r w:rsidDel="00000000" w:rsidR="00000000" w:rsidRPr="00000000">
              <w:rPr>
                <w:rFonts w:ascii="Times New Roman" w:cs="Times New Roman" w:eastAsia="Times New Roman" w:hAnsi="Times New Roman"/>
                <w:i w:val="1"/>
                <w:iCs w:val="1"/>
                <w:sz w:val="24"/>
                <w:szCs w:val="24"/>
                <w:rtl w:val="0"/>
              </w:rPr>
              <w:t xml:space="preserve">trainable variables</w:t>
            </w:r>
            <w:r w:rsidDel="00000000" w:rsidR="00000000" w:rsidRPr="00000000">
              <w:rPr>
                <w:rFonts w:ascii="Times New Roman" w:cs="Times New Roman" w:eastAsia="Times New Roman" w:hAnsi="Times New Roman"/>
                <w:sz w:val="24"/>
                <w:szCs w:val="24"/>
                <w:rtl w:val="0"/>
              </w:rPr>
              <w:t xml:space="preserve">: Stochastic RAG cast document selection as differentiable stochastic sampling for joint optimization, while RankRAG instruction‑tuned a single LLM to both rerank contexts and generate answers, often outperforming dedicated rankers on knowledge‑intensive benchmarks.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RAG-Based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well known that off‑the‑shelf retrievers limited RAG performance; these methods introduced a new solution class—</w:t>
            </w:r>
            <w:r w:rsidDel="00000000" w:rsidR="00000000" w:rsidRPr="00000000">
              <w:rPr>
                <w:rFonts w:ascii="Times New Roman" w:cs="Times New Roman" w:eastAsia="Times New Roman" w:hAnsi="Times New Roman"/>
                <w:i w:val="1"/>
                <w:iCs w:val="1"/>
                <w:sz w:val="24"/>
                <w:szCs w:val="24"/>
                <w:rtl w:val="0"/>
              </w:rPr>
              <w:t xml:space="preserve">optimizing retrieval and generation together, within one learning objective or one model</w:t>
            </w:r>
            <w:r w:rsidDel="00000000" w:rsidR="00000000" w:rsidRPr="00000000">
              <w:rPr>
                <w:rFonts w:ascii="Times New Roman" w:cs="Times New Roman" w:eastAsia="Times New Roman" w:hAnsi="Times New Roman"/>
                <w:sz w:val="24"/>
                <w:szCs w:val="24"/>
                <w:rtl w:val="0"/>
              </w:rPr>
              <w:t xml:space="preserve">—which foreshadowed today’s “RAG 2.0” focus on utility‑maximizing retrieval policies, trainable context selection, and unified rank‑and‑generate LLMs.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