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IO‑aware SRAM‑tiled attention kernels for transformers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IO‑aware attention kernels, exemplified by the second‑generation “flash‑style” attention, reorganized self‑attention into tiled blocks that fit in on‑chip SRAM and fused softmax and scaling so that queries, keys, and values are streamed through GPU memory with far fewer reads/writes, reaching ~50–70% of peak FLOPs on A100s while remaining exact.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The community already knew that attention was memory‑bandwidth bound and quadratic in sequence length, but most work focused on math, not data movement; IO‑aware tiled kernels reframed the solution as “optimize HBM↔SRAM traffic”, a pattern that now underlies mainstream attention implementations and more general GPU memory‑hierarchy–aware kernels.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Virtual‑memory–style paged KV caches for LLM serving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vLLM’s PagedAttention introduced a KV‑cache layout where each sequence’s keys/values are split into fixed‑size blocks and mapped via a block table to non‑contiguous physical GPU memory, closely mimicking OS virtual memory; this eliminated most internal/external fragmentation and enabled near‑zero waste KV‑cache usage with sharing across requests.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GPU memory waste from static, over‑reserved KV buffers was a well‑known bottleneck, but existing systems accepted it as a given; paged KV caches supplied a concrete solution blueprint—block tables, copy‑on‑write, and on‑demand allocation—that now anchors mainstream GPU memory‑management strategies for LLM inference.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batching with KV‑cache–aware scheduling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Around 2023, “continuous batching” / iteration‑level scheduling emerged in LLM servers: instead of static batches, the system dynamically injects and evicts sequences every decoding step, while coordinating with KV‑cache layouts (often paged) so that memory for finished sequences is immediately recycled and new requests are admitted without reloading weights.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understood that inference is memory‑IO bound and static batching underutilizes GPUs, but the missing solution was a scheduler that co‑optimizes batch formation and KV‑cache occupancy; continuous batching provided that policy, becoming the standard pattern for today’s high‑throughput, memory‑efficient LLM serving stacks.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85"/>
        <w:tblGridChange w:id="0">
          <w:tblGrid>
            <w:gridCol w:w="2460"/>
            <w:gridCol w:w="65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4‑bit LLM finetuning with paged optimizer state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QLoRA‑style methods combined 4‑bit NormalFloat (NF4) weight quantization, double quantization of scales, and “paged optimizers” that place optimizer states in CUDA unified memory so they are transparently paged between GPU and CPU, cutting the memory needed to finetune 65B‑parameter models from hundreds of GB to &lt;50 GB on a single GPU.</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Training‑time GPU memory limits and optimizer‑state spikes were well‑known obstacles, but typical fixes were coarse (smaller models, brutal checkpointing); 4‑bit finetuning with paged optimizer state offered a new, fine‑grained memory‑access pattern—compress weights and spill optimizer pages—that now informs many low‑resource training and mixed GPU–CPU memory designs.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85"/>
        <w:tblGridChange w:id="0">
          <w:tblGrid>
            <w:gridCol w:w="2460"/>
            <w:gridCol w:w="65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Low‑precision KV‑cache quantization for ultra‑long context inference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KV‑cache quantization work such as KVQuant showed that keys/values in the cache can be compressed to 2–3 bits using per‑channel pre‑RoPE key quantization, sensitivity‑aware non‑uniform datatypes, and dense‑plus‑sparse outlier handling, enabling 1M–10M token contexts for LLaMA‑class models on single or few A100 GPUs with &lt;0.1 perplexity loss.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fact that KV cache dominates memory for long sequences was already documented, but most solutions focused on pruning tokens or shrinking models; ultra‑low‑bit KV quantization reframed the solution as compressing </w:t>
            </w:r>
            <w:r w:rsidDel="00000000" w:rsidR="00000000" w:rsidRPr="00000000">
              <w:rPr>
                <w:rFonts w:ascii="Times New Roman" w:cs="Times New Roman" w:eastAsia="Times New Roman" w:hAnsi="Times New Roman"/>
                <w:i w:val="1"/>
                <w:iCs w:val="1"/>
                <w:sz w:val="24"/>
                <w:szCs w:val="24"/>
                <w:rtl w:val="0"/>
              </w:rPr>
              <w:t xml:space="preserve">activations</w:t>
            </w:r>
            <w:r w:rsidDel="00000000" w:rsidR="00000000" w:rsidRPr="00000000">
              <w:rPr>
                <w:rFonts w:ascii="Times New Roman" w:cs="Times New Roman" w:eastAsia="Times New Roman" w:hAnsi="Times New Roman"/>
                <w:sz w:val="24"/>
                <w:szCs w:val="24"/>
                <w:rtl w:val="0"/>
              </w:rPr>
              <w:t xml:space="preserve"> while keeping weights fixed, a pattern now central to long‑context and KV‑heavy GPU memory optimizations.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Virtual‑tensor abstractions that decouple compute from GPU memory layout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virtual‑tensor systems like vTensor modeled KV caches and activations as “virtual tensors” managed via GPU virtual memory, decoupling compute kernels from the physical placement and enabling background defragmentation and heterogeneous CPU–GPU memory management while still supporting existing attention kernels and batching schemes.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2023, paged caches helped, but attention kernels were still tightly coupled to specific layouts, constraining memory optimizations; virtual‑tensor abstractions offered a new solution pattern—treat tensors like virtual address spaces—laying groundwork for aggressive, transparent memory re‑mapping and offload strategies in modern GPU‑constrained serving systems.</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Activation‑shifting pipeline schedules to balance GPU memory across stages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Memory‑balanced pipeline methods such as BPipe (ICML 2023) moved intermediate activations between early and late pipeline stages so that no single GPU becomes the memory hotspot, reducing reliance on full activation recomputation and enabling larger microbatches and models under the same total GPU memory budget.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GPU Constraints and Memory Access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mismatch between compute and memory across pipeline stages and the heavy cost of activation checkpointing were long‑recognized issues; activation‑shifting pipeline schedules supplied a concrete memory‑access strategy—redistribute activations instead of recomputing them—that influences current large‑scale training systems targeting better GPU memory utilization.</w:t>
            </w:r>
            <w:r w:rsidDel="00000000" w:rsidR="00000000" w:rsidRPr="00000000">
              <w:rPr>
                <w:rtl w:val="0"/>
              </w:rPr>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