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4‑bit low‑rank fine‑tuning on quantized LLM backbones (NF4 + double quantization + paged optimizers)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QLoRA‑style methods froze a base LLM quantized to 4‑bit NormalFloat (NF4), applied double quantization to the scales, and attached low‑rank adapters while using paged optimizers to keep optimizer state mostly off‑GPU, allowing 65B‑parameter models to be fine‑tuned on a single 48 GB GPU with near full‑precision quality.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full‑precision fine‑tuning of frontier LLMs was prohibitively memory‑hungry; this work supplied a concrete solution pattern—aggressive 4‑bit weight quantization plus lightweight adapters and paged optimizers—that helped crystallize quantization as the default way to make LLM training and adaptation feasible on commodity hardware.</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Activation‑aware channel‑wise weight protection for low‑bit, weight‑only PTQ of LLMs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Activation‑aware weight quantization (AWQ‑style) methods in 2023–2024 used calibration activations to identify “salient” channels, then chose per‑channel scales that keep only a tiny fraction of critical weights in effectively higher precision, enabling 3–4‑bit weight‑only PTQ of LLaMA‑class models with small accuracy loss and hardware‑friendly integer kernels.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understood that naïve uniform low‑bit quantization severely hurts LLM quality; activation‑aware channel protection offered a new solution recipe—“protect the few, quantize the many”—that became a template for practical low‑bit PTQ pipelines and helped move quantization from niche to mainstream in LLM deployment.</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Sensitivity‑based non‑uniform and dense‑sparse weight decomposition for ultra‑low‑bit LLM quantization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SqueezeLLM‑ and SpQR‑style approaches framed LLM PTQ as a sensitivity problem: they used second‑order or perturbation signals to design non‑uniform quantizers and split weights into a dense low‑bit part plus a sparse high‑precision “outlier” part, reaching near‑lossless 3‑bit compression for LLaMA‑size models with substantial speedups.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LLM engineers already knew that outliers and layer sensitivities made ultra‑low‑bit quantization brittle; these methods proposed a concrete solution—non‑uniform bins plus explicit outlier extraction—that paved the way for today’s widespread “dense‑plus‑sparse” and mixed‑precision quantization recipes used across many production LLMs.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Activation–weight rebalancing via offline outlier migration for W8A8 PTQ of LLMs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SmoothQuant‑style work in 2023 showed that, because activations are harder to quantize than weights, one can apply a static rescaling that transfers “outlierness” from activations into weights before quantization, enabling 8‑bit weights and 8‑bit activations for transformer LLMs that run efficiently on INT8 tensor cores while preserving accuracy.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difficulty of activation quantization was already a recognized blocker for end‑to‑end INT8 deployment; activation–weight rebalancing offered a new solution—pre‑processing the model so standard quantizers work—that underlies many current “drop‑in” low‑bit deployment stacks and broadened quantization from weight‑only tricks to full‑pipeline optimization.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Ultra‑low‑bit KV‑cache and activation quantization for long‑context LLM inference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KVQuant‑style methods developed specialized schemes for quantizing the key–value cache to 2–4 bits using per‑channel key quantization, pre‑RoPE quantization, non‑uniform formats and dense‑plus‑sparse handling of outliers, with custom CUDA kernels that sustained accuracy while extending context lengths by several‑fold.</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Practitioners already knew that KV cache, not weights, dominates memory for long context; targeting the cache with tailored ultra‑low‑bit quantization introduced a fresh solution axis—quantizing activations and state, not just parameters—which is now central to long‑context LLM design and to treating quantization as a holistic system‑level tool.</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Data‑free / synthetic‑data quantization‑aware training (QAT) for LLMs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LLM‑QAT‑style work in 2024 proposed running short, low‑cost quantization‑aware training using synthetic data generated by a reference model, refining quantized weights produced by PTQ methods like GPTQ and SmoothQuant to recover much of the accuracy lost at 4‑bit and below without needing access to the original training corpus.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widely recognized that PTQ alone often hits a quality wall at very low precisions, but full‑data QAT was impractical for giant LLMs; synthetic‑data QAT offered a pragmatic solution pattern—cheap, post‑hoc fine‑tuning of quantized models—that foreshadowed today’s hybrid PTQ+QAT pipelines and “quantization‑as‑a‑service” tooling.</w:t>
            </w:r>
            <w:r w:rsidDel="00000000" w:rsidR="00000000" w:rsidRPr="00000000">
              <w:rPr>
                <w:rtl w:val="0"/>
              </w:rPr>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Hardware‑format‑aware mixed‑precision PTQ combining multiple quantizers and custom integer formats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2024 work on post‑training quantization with MXINT‑style formats treated LLM PTQ as a composition problem: combine different PTQ techniques and assign bits separately to weights and activations (for example 4‑bit weights and 8‑bit activations in a custom mixed‑integer format) to closely match hardware datapaths while maintaining accuracy.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Quantization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gap between algorithmic quantizers and real accelerator formats was a known source of lost performance; format‑aware mixed‑precision PTQ provided a solution blueprint—co‑design quantizers with hardware integer types—that underlies modern vendor toolchains and reinforces quantization as a primary knob for co‑optimizing LLMs with GPUs and specialized accelerators.</w:t>
            </w:r>
            <w:r w:rsidDel="00000000" w:rsidR="00000000" w:rsidRPr="00000000">
              <w:rPr>
                <w:rtl w:val="0"/>
              </w:rPr>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