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6915"/>
        <w:tblGridChange w:id="0">
          <w:tblGrid>
            <w:gridCol w:w="2130"/>
            <w:gridCol w:w="69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Phase-aware modelling of LLM inference as two distinct workloads (compute-bound prefill vs memory-bound decode)</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Starting in 2023, systems work such as SARATHI and later DistServe/TetriInfer/Splitwise explicitly modelled LLM inference as two different jobs—a compute‑heavy prefill phase and a memory‑bound decode phase—and evaluated them with separate metrics (TTFT, TPOT/TBT, throughput, power, and memory behavior) under realistic traces and batch sizes.</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Prefilling-Decoding Disaggregated Architecture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bottleneck (prefill–decode interference and conflicting SLOs) was already known, but the standard solution was just “tune batching” on colocated GPUs; this phase‑aware modelling introduced a new solution pattern—treat prefill and decode as fundamentally different services with distinct SLOs and resource preferences, which later made it natural to physically split them into separate prefill and decode pools in prefill–decode disaggregated architectures.</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6705"/>
        <w:tblGridChange w:id="0">
          <w:tblGrid>
            <w:gridCol w:w="2340"/>
            <w:gridCol w:w="670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Chunked-prefill and decode-maximal hybrid batching to decouple prefill work from decode work on a single GPU</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SARATHI (and later Sarathi‑Serve) introduced chunked-prefills—splitting a long prefill into equal compute‑sized chunks—and decode-maximal batching, where each iteration batches one prefill chunk with as many decode tokens as possible so the prefill chunk saturates compute while decodes “piggyback” at low marginal cost, greatly reducing stalls and pipeline bubbles without changing the model.</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Prefilling-Decoding Disaggregated Architecture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problem of long prefills stalling ongoing decodes in continuous batching was well understood; chunked-prefill + decode-maximal batching was a new method that separated prefill compute units from decode work at the scheduling level, showing that isolating the phases (even virtually on one GPU) can tame interference—exactly the intuition later scaled up by physically disaggregating prefilling and decoding across different workers and GPU pools.</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735"/>
        <w:tblGridChange w:id="0">
          <w:tblGrid>
            <w:gridCol w:w="2310"/>
            <w:gridCol w:w="67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Phase-split LLM clusters with dedicated prompt and token GPU pools and heterogenous hardware mapping</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Splitwise characterised prompt vs token phases in detail, then proposed separate machine pools for prompt (prefill) and token (decode) processing, sometimes on different GPU types (e.g., H100 for compute‑intensive prefill, A100 for memory‑heavy decode), with a cluster‑level scheduler that assigns each request a prompt machine and a token machine and transfers KV caches between them.</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Prefilling-Decoding Disaggregated Architecture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Operators already knew prefill and decode liked different batch sizes, power caps, and even GPU SKUs, but they still ran both phases on identical, colocated nodes; phase‑split clusters with dedicated prompt/token pools were an early solution blueprint for phase-specific hardware and scaling, directly prefiguring today’s Prefilling-Decoding Disaggregated Architectures where prefill and decode live on different hardware tiers or clusters.</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735"/>
        <w:tblGridChange w:id="0">
          <w:tblGrid>
            <w:gridCol w:w="2310"/>
            <w:gridCol w:w="67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prefill and decode instances with length-aware disaggregated scheduling for mixed workloads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“Inference without Interference” (TetriInfer) proposed a design where prefill and decode run on logically separate instances: prompts are partitioned into fixed-size chunks on prefill instances, which then transfer KV caches to decode instances; a two-level scheduler plus an LLM-based length predictor balances different request types across prefill and decode pools to avoid interference and hotspots.</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Prefilling-Decoding Disaggregated Architecture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Multi-tenant workloads with mixed long/short prompts and generations already caused severe cross‑phase interference on shared GPUs; TetriInfer’s virtual prefill/decode instances and length‑aware routing showed a concrete disaggregated serving method—independently scalable prefill and decode pools linked by KV-cache transfer—that is essentially the software pattern later generalized and standardized in Prefilling-Decoding Disaggregated Architectures.</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6705"/>
        <w:tblGridChange w:id="0">
          <w:tblGrid>
            <w:gridCol w:w="2340"/>
            <w:gridCol w:w="670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Goodput-optimized GPU partitioning of prefill and decode under dual SLOs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DistServe framed LLM serving as a goodput optimization problem under two SLOs—time to first token (TTFT, prefill) and time per output token (TPOT, decode)—and showed that colocating phases forces bad trade-offs; it instead assigns prefill and decoding to different GPU sets, co-optimizes GPU counts and parallelism for each phase, and chooses a placement that respects cluster bandwidth while maximizing per‑GPU goodput.</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Prefilling-Decoding Disaggregated Architecture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community already knew you could “fix” TTFT/TPOT trade-offs only by overprovisioning or heuristic scheduling on shared GPUs; DistServe provided a new solution template—optimize prefill and decode as separate services with their own GPU allocations and parallelism, then glue them together with KV transfer, which is exactly the structural idea behind modern Prefilling-Decoding Disaggregated Architectures.</w:t>
            </w:r>
            <w:r w:rsidDel="00000000" w:rsidR="00000000" w:rsidRPr="00000000">
              <w:rPr>
                <w:rtl w:val="0"/>
              </w:rPr>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870"/>
        <w:tblGridChange w:id="0">
          <w:tblGrid>
            <w:gridCol w:w="2175"/>
            <w:gridCol w:w="68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Layer-wise KV-cache streaming and network-aware state transfer between prefill and decode workers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To make phase splitting practical, Splitwise introduced layer-wise, asynchronous KV-cache transfer, streaming each layer’s KV blocks from prompt machines to token machines while prefill computation continues, and TetriInfer built a specialized low-level network stack for efficient KV transfer between its prefill and decode instances.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Prefilling-Decoding Disaggregated Architecture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known objection to splitting phases was that moving KV caches across devices might erase any gains; these KV‑streaming techniques demonstrated a workable method to treat KV cache as a first-class, streamable state whose transfer cost can be overlapped with compute, enabling the practical Prefilling-Decoding Disaggregated Architectures now used in vLLM, Ray Serve, AWS Neuron and similar systems.</w:t>
            </w:r>
            <w:r w:rsidDel="00000000" w:rsidR="00000000" w:rsidRPr="00000000">
              <w:rPr>
                <w:rtl w:val="0"/>
              </w:rPr>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