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Two‑model draft–verifier architecture for lossless acceleration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speculative decoding / speculative sampling crystallized a two‑model scheme where a small draft model proposes several next tokens and the large target model scores them in a single batched call, accepting as many as possible while </w:t>
            </w:r>
            <w:r w:rsidDel="00000000" w:rsidR="00000000" w:rsidRPr="00000000">
              <w:rPr>
                <w:rFonts w:ascii="Times New Roman" w:cs="Times New Roman" w:eastAsia="Times New Roman" w:hAnsi="Times New Roman"/>
                <w:i w:val="1"/>
                <w:iCs w:val="1"/>
                <w:sz w:val="24"/>
                <w:szCs w:val="24"/>
                <w:rtl w:val="0"/>
              </w:rPr>
              <w:t xml:space="preserve">provably</w:t>
            </w:r>
            <w:r w:rsidDel="00000000" w:rsidR="00000000" w:rsidRPr="00000000">
              <w:rPr>
                <w:rFonts w:ascii="Times New Roman" w:cs="Times New Roman" w:eastAsia="Times New Roman" w:hAnsi="Times New Roman"/>
                <w:sz w:val="24"/>
                <w:szCs w:val="24"/>
                <w:rtl w:val="0"/>
              </w:rPr>
              <w:t xml:space="preserve"> preserving the target model’s distribution.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that autoregressive decoding was too slow and GPU‑underutilized, but common fixes were heuristic caching or pruning; this draft–verifier architecture gave a </w:t>
            </w:r>
            <w:r w:rsidDel="00000000" w:rsidR="00000000" w:rsidRPr="00000000">
              <w:rPr>
                <w:rFonts w:ascii="Times New Roman" w:cs="Times New Roman" w:eastAsia="Times New Roman" w:hAnsi="Times New Roman"/>
                <w:i w:val="1"/>
                <w:iCs w:val="1"/>
                <w:sz w:val="24"/>
                <w:szCs w:val="24"/>
                <w:rtl w:val="0"/>
              </w:rPr>
              <w:t xml:space="preserve">general, lossless</w:t>
            </w:r>
            <w:r w:rsidDel="00000000" w:rsidR="00000000" w:rsidRPr="00000000">
              <w:rPr>
                <w:rFonts w:ascii="Times New Roman" w:cs="Times New Roman" w:eastAsia="Times New Roman" w:hAnsi="Times New Roman"/>
                <w:sz w:val="24"/>
                <w:szCs w:val="24"/>
                <w:rtl w:val="0"/>
              </w:rPr>
              <w:t xml:space="preserve"> solution template—“small model speculates, big model verifies”—that subsequent speculative decoding work generalized and systematized.</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Self‑speculative decoding with shallow sub‑networks of the same LLM</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Self‑speculative decoding showed that a single LLM can act as both drafter and verifier by using a shallower “fast” sub‑network (formed by skipping intermediate layers) to draft tokens, then running a full‑depth pass to verify all drafted tokens at once, achieving ~2× speedups without extra models or training.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key practical blocker for speculative decoding was the cost and complexity of maintaining a separate draft model; self‑drafting introduced a new solution pattern—carve a cheap approximation out of the target LLM itself—which later inspired many “subnetwork as drafter” designs for plug‑and‑play speculative decoding.</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Token‑tree speculative inference with multi‑branch verification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Systems like SpecInfer and head‑augmented frameworks such as Medusa treated draft continuations as a token tree: small speculative models or extra decoding heads generate multiple branching continuations, and the target LLM uses tree‑structured attention to verify many paths in parallel in a single or few decoding steps.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Early speculative decoding mostly handled a </w:t>
            </w:r>
            <w:r w:rsidDel="00000000" w:rsidR="00000000" w:rsidRPr="00000000">
              <w:rPr>
                <w:rFonts w:ascii="Times New Roman" w:cs="Times New Roman" w:eastAsia="Times New Roman" w:hAnsi="Times New Roman"/>
                <w:i w:val="1"/>
                <w:iCs w:val="1"/>
                <w:sz w:val="24"/>
                <w:szCs w:val="24"/>
                <w:rtl w:val="0"/>
              </w:rPr>
              <w:t xml:space="preserve">single linear draft chain</w:t>
            </w:r>
            <w:r w:rsidDel="00000000" w:rsidR="00000000" w:rsidRPr="00000000">
              <w:rPr>
                <w:rFonts w:ascii="Times New Roman" w:cs="Times New Roman" w:eastAsia="Times New Roman" w:hAnsi="Times New Roman"/>
                <w:sz w:val="24"/>
                <w:szCs w:val="24"/>
                <w:rtl w:val="0"/>
              </w:rPr>
              <w:t xml:space="preserve">, limiting parallelism and acceptance; token‑tree speculation introduced the idea of multi‑branch draft graphs with parallel verification, which is now central to advanced speculative decoders that trade a bit more verification compute for large reductions in the number of decoding steps.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Feature‑level speculative sampling inside the LLM</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EAGLE‑style methods reframed speculation from token space into hidden‑feature space: they extrapolate second‑to‑top‑layer features one step ahead and use those to cheaply draft future tokens, then run the full model only to verify and correct, achieving lossless acceleration with carefully controlled feature uncertainty.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well known that even with a small draft model, repeated full forward passes were still expensive; feature‑level drafting proposed a new solution axis—speculate on internal representations rather than just logits—which broadened speculative decoding beyond “two black‑box models” and opened the door to deeper architectural co‑design.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Datastore‑driven drafting instead of learned draft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REST and related work replaced a neural draft model with a retrieval datastore: the system retrieves past context‑continuation pairs that match the current suffix and uses their continuations as draft tokens, which the large LLM then verifies using a standard speculative decoding accept–reject scheme.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known limitation of speculative decoding was the need to train or pick a well‑matched draft model; datastore‑based drafting offered a different solution—reuse existing generations as a non‑parametric drafter—foreshadowing today’s hybrids that mix retrieval, caches, and small LMs as interchangeable speculation sources.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block‑level verification schemes for speculative drafts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Block‑verification methods recast the verification phase as a joint decision over an entire draft block, rather than token‑by‑token checks, proving that block‑wise acceptance rules can be optimal in expected tokens‑per‑iteration and showing consistent 5–8% wall‑clock gains over standard token‑level verification without changing the output distribution.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that naïve token‑wise verification underused the target model’s batched compute; block‑level verification supplied a new algorithmic solution template—optimize the verification rule itself to maximize accepted tokens per call—which has since become a default optimization in many modern speculative decoding implementations.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