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7335"/>
        <w:tblGridChange w:id="0">
          <w:tblGrid>
            <w:gridCol w:w="1710"/>
            <w:gridCol w:w="733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Sparse autoencoder feature dictionaries for MLP channels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In 2023, mechanistic interpretability groups began training sparse autoencoders on MLP activations to build “feature dictionaries” that decompose each MLP channel into many approximately monosemantic features, first on small transformers and then on larger LMs.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Attention and MLP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Researchers already knew that single neurons and MLP channels were superposed and hard to interpret; sparse autoencoders offered a new solution for MLP analysis—treating channels as sparse mixes of interpretable features—which is now a core pattern when dissecting how attention heads hand off information to MLP feature subspaces.</w:t>
            </w:r>
            <w:r w:rsidDel="00000000" w:rsidR="00000000" w:rsidRPr="00000000">
              <w:rPr>
                <w:rtl w:val="0"/>
              </w:rPr>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140"/>
        <w:tblGridChange w:id="0">
          <w:tblGrid>
            <w:gridCol w:w="1905"/>
            <w:gridCol w:w="71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Layer‑wise and head‑wise “lensing” to decode internal predictions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Building on Logit Lens and Tuned Lens, 2023 work extended linear / affine “lenses” from the residual stream and MLP outputs to attention heads, training per-layer or per-head projections that map hidden states directly into vocabulary distributions or interpretable token sets (e.g., Attention Lens).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Attention and MLP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field already knew that layers “refine” predictions but lacked tools to compare attention vs MLP contributions; lensing methods gave a concrete way to read out what each block or head “wants to predict,” seeding today’s standard practice of using tuned/logit/attention lenses to systematically contrast attention-head roles with MLP knowledge storage.</w:t>
            </w:r>
            <w:r w:rsidDel="00000000" w:rsidR="00000000" w:rsidRPr="00000000">
              <w:rPr>
                <w:rtl w:val="0"/>
              </w:rPr>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275"/>
        <w:tblGridChange w:id="0">
          <w:tblGrid>
            <w:gridCol w:w="1770"/>
            <w:gridCol w:w="72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Path‑patching and causal resampling for localized attention–MLP circuits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Path patching reframed activation patching as patching along specific computation paths in the transformer graph: you replace activations only on selected edges or subpaths (e.g., from certain attention heads through particular MLPs to the logits) and test whether that path is sufficient for a behavior, while causal-scrubbing‑style resampling gave a rigorous framework for such counterfactual tests.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Attention and MLP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It was already recognized that “important heads” and MLPs could be identified, but not how specific attention–MLP pathways implemented behaviors; path-based patching and scrubbing offered a new solution pattern—treat circuits as directed paths through attention and MLP blocks—which underlies much of today’s fine-grained attention/MLP circuit analysis.</w:t>
            </w:r>
            <w:r w:rsidDel="00000000" w:rsidR="00000000" w:rsidRPr="00000000">
              <w:rPr>
                <w:rtl w:val="0"/>
              </w:rPr>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95"/>
        <w:tblGridChange w:id="0">
          <w:tblGrid>
            <w:gridCol w:w="1950"/>
            <w:gridCol w:w="70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circuit discovery over attention–MLP graphs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NeurIPS 2023 work on automated circuit discovery (ACDC) proposed search algorithms that operate over a graph whose nodes are attention heads and MLPs, recursively using activation patching to prune edges and recover minimal subgraphs (“circuits”) that are still faithful to a task’s behavior.</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Attention and MLP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need to move beyond hand‑built case studies to scalable attention/MLP analysis was already clear; ACDC gave a general solution for turning attention+MLP graphs into task‑specific circuits automatically, foreshadowing current pipelines that algorithmically search for and score attention and MLP components rather than inspecting them one by one.</w:t>
            </w:r>
            <w:r w:rsidDel="00000000" w:rsidR="00000000" w:rsidRPr="00000000">
              <w:rPr>
                <w:rtl w:val="0"/>
              </w:rPr>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7125"/>
        <w:tblGridChange w:id="0">
          <w:tblGrid>
            <w:gridCol w:w="1920"/>
            <w:gridCol w:w="712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Edge‑attribution circuit scoring across training and scale for heads and MLPs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2024 work on “LLM circuit analyses across training and scale” introduced edge‑attribution patching with integrated gradients (EAP‑IG) to score every edge between attention heads and MLPs, then used these scores to extract faithful circuits for tasks (IOI, greater‑than, etc.) across many checkpoints and model sizes.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Attention and MLP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Researchers already suspected circuits and head types might generalize across scales, but lacked systematic tools; edge‑attribution circuit finding provided a scalable way to quantify which attention heads and MLPs matter when and at what scale, directly feeding into today’s mainstream “attention vs MLP role” analyses over model families and training trajectories.</w:t>
            </w:r>
            <w:r w:rsidDel="00000000" w:rsidR="00000000" w:rsidRPr="00000000">
              <w:rPr>
                <w:rtl w:val="0"/>
              </w:rPr>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230"/>
        <w:tblGridChange w:id="0">
          <w:tblGrid>
            <w:gridCol w:w="1815"/>
            <w:gridCol w:w="72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Task‑grounded mechanistic reverse‑engineering of reasoning circuits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Several 2024 studies (e.g., backward‑chaining tree‑reasoning transformers) took a task‑first approach: train a small transformer on a tightly controlled reasoning task, then combine linear probes, activation patching, and causal scrubbing to map out how specific attention heads implement algorithmic steps and how MLP blocks store and transform intermediate variables.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Attention and MLP Analysis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difficulty of attributing complex behaviors (like multi‑step reasoning) to concrete internal mechanisms was a known challenge; these task‑grounded analyses provided a worked template for jointly interpreting attention and MLP roles in full algorithms, which has since been repurposed for many modern attention/MLP analyses in larger, more realistic language models.</w:t>
            </w:r>
            <w:r w:rsidDel="00000000" w:rsidR="00000000" w:rsidRPr="00000000">
              <w:rPr>
                <w:rtl w:val="0"/>
              </w:rPr>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