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Residual‑stream contribution scoring for inter‑layer influence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on </w:t>
            </w:r>
            <w:r w:rsidDel="00000000" w:rsidR="00000000" w:rsidRPr="00000000">
              <w:rPr>
                <w:rFonts w:ascii="Times New Roman" w:cs="Times New Roman" w:eastAsia="Times New Roman" w:hAnsi="Times New Roman"/>
                <w:i w:val="1"/>
                <w:iCs w:val="1"/>
                <w:sz w:val="24"/>
                <w:szCs w:val="24"/>
                <w:rtl w:val="0"/>
              </w:rPr>
              <w:t xml:space="preserve">Exploring the Residual Stream of Transformers</w:t>
            </w:r>
            <w:r w:rsidDel="00000000" w:rsidR="00000000" w:rsidRPr="00000000">
              <w:rPr>
                <w:rFonts w:ascii="Times New Roman" w:cs="Times New Roman" w:eastAsia="Times New Roman" w:hAnsi="Times New Roman"/>
                <w:sz w:val="24"/>
                <w:szCs w:val="24"/>
                <w:rtl w:val="0"/>
              </w:rPr>
              <w:t xml:space="preserve"> treated the residual stream as a running logit accumulator and introduced log‑probability increase as a contribution score to quantify how each layer and parameter changes the final logits; it also compared inner products between residual vectors to analyze how earlier layers affect upper layers.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known that “something” was being added at each layer, but not how contributions from different depths combine; residual‑stream contribution scoring gave a concrete </w:t>
            </w:r>
            <w:r w:rsidDel="00000000" w:rsidR="00000000" w:rsidRPr="00000000">
              <w:rPr>
                <w:rFonts w:ascii="Times New Roman" w:cs="Times New Roman" w:eastAsia="Times New Roman" w:hAnsi="Times New Roman"/>
                <w:i w:val="1"/>
                <w:iCs w:val="1"/>
                <w:sz w:val="24"/>
                <w:szCs w:val="24"/>
                <w:rtl w:val="0"/>
              </w:rPr>
              <w:t xml:space="preserve">solution pattern</w:t>
            </w:r>
            <w:r w:rsidDel="00000000" w:rsidR="00000000" w:rsidRPr="00000000">
              <w:rPr>
                <w:rFonts w:ascii="Times New Roman" w:cs="Times New Roman" w:eastAsia="Times New Roman" w:hAnsi="Times New Roman"/>
                <w:sz w:val="24"/>
                <w:szCs w:val="24"/>
                <w:rtl w:val="0"/>
              </w:rPr>
              <w:t xml:space="preserve"> for layer interaction—treating the whole stack as a sum of logit contributions and explicitly tracing how earlier layers’ changes propagate into later layers’ predictions.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Affine lens translators aligning intermediate layers with final logits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tuned‑lens framework trained layer‑specific affine “translators” that map intermediate hidden states directly into the model’s output distribution, effectively “stitching” each layer to the unembedding and enabling layer‑wise prediction trajectories, example difficulty (“prediction depth”), and anomaly detection analyses.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already knew that predictions “evolve” across layers but lacked tools to read them out in a comparable space; tuned lenses supplied a general solution for layer interaction—align representations across depth to a common logit space, making it standard to study how layers cooperate or disagree over the course of a forward pass.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cross‑layer transcoders predicting future activations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The 2024 Circuits “Predicting Future Activations” experiments trained sparse auxiliary models that take activations at one point and predict activations at a later point in the transformer (e.g., pre‑MLP residual → post‑MLP output, pre‑attention residual → post‑attention output), so that part of the network’s multi‑layer computation is approximated as an explicit sparse map.</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knew that circuits spanned many layers but analyses were mostly local; cross‑layer transcoders offered a solution for modeling interactions between layers as an explicit learned transformation, making it practical to reason about how information is passed and transformed across multiple blocks instead of treating each layer in isolation.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Cosine-based layer similarity with aligned multi‑exit 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“On Layer‑wise Representation Similarity: Application for Multi‑Exit Models with a Single Classifier” showed that simple sample‑wise cosine similarity between layers closely tracks CKA for transformers, then introduced an “aligned training” objective that forces internal representations to stay similar across depth so that a </w:t>
            </w:r>
            <w:r w:rsidDel="00000000" w:rsidR="00000000" w:rsidRPr="00000000">
              <w:rPr>
                <w:rFonts w:ascii="Times New Roman" w:cs="Times New Roman" w:eastAsia="Times New Roman" w:hAnsi="Times New Roman"/>
                <w:i w:val="1"/>
                <w:iCs w:val="1"/>
                <w:sz w:val="24"/>
                <w:szCs w:val="24"/>
                <w:rtl w:val="0"/>
              </w:rPr>
              <w:t xml:space="preserve">single</w:t>
            </w:r>
            <w:r w:rsidDel="00000000" w:rsidR="00000000" w:rsidRPr="00000000">
              <w:rPr>
                <w:rFonts w:ascii="Times New Roman" w:cs="Times New Roman" w:eastAsia="Times New Roman" w:hAnsi="Times New Roman"/>
                <w:sz w:val="24"/>
                <w:szCs w:val="24"/>
                <w:rtl w:val="0"/>
              </w:rPr>
              <w:t xml:space="preserve"> final classifier can be attached to any layer for early exits.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redundancy of deep stacks and the desire for early‑exit models were well known, but most methods ignored how layers relate internally; this work framed a solution where layer interaction is engineered via representational alignment, turning interaction analysis (cosine/CKA across layers) directly into a training signal that shapes how layers cooperate.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Edge‑attribution circuit graphs spanning layers and training checkpoints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“LLM Circuit Analyses Are Consistent Across Training and Scale” used edge‑attribution patching with integrated gradients (EAP‑IG) to score every edge in a transformer’s computation graph, then extracted minimal faithful circuits and tracked how these layer‑spanning circuits evolve across checkpoints and model sizes (Pythia family).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People already suspected that the same behavior could be implemented by different layers at different times, but lacked scalable tools; edge‑attribution circuits gave a graph‑level view of layer interaction—what cross‑layer edges actually matter, and how that set changes over training and scale, which is now a template for thinking about layer interaction as evolving circuits rather than static, isolated blocks.</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