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Decoupled long‑term memory modules wrapped around frozen LLM backbones (LongMem‑style frameworks)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LongMem introduced a decoupled architecture where a pre‑trained LLM is frozen as a </w:t>
            </w:r>
            <w:r w:rsidDel="00000000" w:rsidR="00000000" w:rsidRPr="00000000">
              <w:rPr>
                <w:rFonts w:ascii="Times New Roman" w:cs="Times New Roman" w:eastAsia="Times New Roman" w:hAnsi="Times New Roman"/>
                <w:i w:val="1"/>
                <w:iCs w:val="1"/>
                <w:sz w:val="24"/>
                <w:szCs w:val="24"/>
                <w:rtl w:val="0"/>
              </w:rPr>
              <w:t xml:space="preserve">memory encoder</w:t>
            </w:r>
            <w:r w:rsidDel="00000000" w:rsidR="00000000" w:rsidRPr="00000000">
              <w:rPr>
                <w:rFonts w:ascii="Times New Roman" w:cs="Times New Roman" w:eastAsia="Times New Roman" w:hAnsi="Times New Roman"/>
                <w:sz w:val="24"/>
                <w:szCs w:val="24"/>
                <w:rtl w:val="0"/>
              </w:rPr>
              <w:t xml:space="preserve"> and a lightweight residual side‑network learns to retrieve and read from a long‑term external memory bank that caches compressed past contexts, enabling effective histories of 65k+ tokens and improving long‑text modeling and memory‑augmented in‑context learning.</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field already knew fixed context windows blocked long‑horizon reasoning over books, sessions, and logs; this work offered a concrete </w:t>
            </w:r>
            <w:r w:rsidDel="00000000" w:rsidR="00000000" w:rsidRPr="00000000">
              <w:rPr>
                <w:rFonts w:ascii="Times New Roman" w:cs="Times New Roman" w:eastAsia="Times New Roman" w:hAnsi="Times New Roman"/>
                <w:i w:val="1"/>
                <w:iCs w:val="1"/>
                <w:sz w:val="24"/>
                <w:szCs w:val="24"/>
                <w:rtl w:val="0"/>
              </w:rPr>
              <w:t xml:space="preserve">solution template</w:t>
            </w:r>
            <w:r w:rsidDel="00000000" w:rsidR="00000000" w:rsidRPr="00000000">
              <w:rPr>
                <w:rFonts w:ascii="Times New Roman" w:cs="Times New Roman" w:eastAsia="Times New Roman" w:hAnsi="Times New Roman"/>
                <w:sz w:val="24"/>
                <w:szCs w:val="24"/>
                <w:rtl w:val="0"/>
              </w:rPr>
              <w:t xml:space="preserve">—treat long history as a separate, trainable memory system around an LLM—foreshadowing today’s long‑context architectures that rely on external or hierarchical memories to support multi‑step reasoning over very long interaction histories.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Document‑coherent in‑context pretraining across sequences of related documents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In‑Context Pretraining (ICP) in 2023 replaced random document concatenation with sequences of </w:t>
            </w:r>
            <w:r w:rsidDel="00000000" w:rsidR="00000000" w:rsidRPr="00000000">
              <w:rPr>
                <w:rFonts w:ascii="Times New Roman" w:cs="Times New Roman" w:eastAsia="Times New Roman" w:hAnsi="Times New Roman"/>
                <w:i w:val="1"/>
                <w:iCs w:val="1"/>
                <w:sz w:val="24"/>
                <w:szCs w:val="24"/>
                <w:rtl w:val="0"/>
              </w:rPr>
              <w:t xml:space="preserve">related</w:t>
            </w:r>
            <w:r w:rsidDel="00000000" w:rsidR="00000000" w:rsidRPr="00000000">
              <w:rPr>
                <w:rFonts w:ascii="Times New Roman" w:cs="Times New Roman" w:eastAsia="Times New Roman" w:hAnsi="Times New Roman"/>
                <w:sz w:val="24"/>
                <w:szCs w:val="24"/>
                <w:rtl w:val="0"/>
              </w:rPr>
              <w:t xml:space="preserve"> documents, using nearest‑neighbor search and graph traversal to build training contexts where the model must read and reason across document boundaries, yielding large gains on long‑context reasoning, reading comprehension, and retrieval‑augmented tasks.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Long contexts were known to help in principle, but standard pretraining didn’t actually teach models to integrate information spread over many documents; ICP proposed a data‑centric solution—</w:t>
            </w:r>
            <w:r w:rsidDel="00000000" w:rsidR="00000000" w:rsidRPr="00000000">
              <w:rPr>
                <w:rFonts w:ascii="Times New Roman" w:cs="Times New Roman" w:eastAsia="Times New Roman" w:hAnsi="Times New Roman"/>
                <w:i w:val="1"/>
                <w:iCs w:val="1"/>
                <w:sz w:val="24"/>
                <w:szCs w:val="24"/>
                <w:rtl w:val="0"/>
              </w:rPr>
              <w:t xml:space="preserve">reorder pretraining so long contexts always carry useful, related evidence</w:t>
            </w:r>
            <w:r w:rsidDel="00000000" w:rsidR="00000000" w:rsidRPr="00000000">
              <w:rPr>
                <w:rFonts w:ascii="Times New Roman" w:cs="Times New Roman" w:eastAsia="Times New Roman" w:hAnsi="Times New Roman"/>
                <w:sz w:val="24"/>
                <w:szCs w:val="24"/>
                <w:rtl w:val="0"/>
              </w:rPr>
              <w:t xml:space="preserve">—which anticipates modern recipes that couple long windows with curricula explicitly targeting long‑range reasoning.</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85"/>
        <w:tblGridChange w:id="0">
          <w:tblGrid>
            <w:gridCol w:w="1860"/>
            <w:gridCol w:w="71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Training‑free RoPE and chunk‑based attention tricks for extrapolative context extension</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Between late 2023 and 2024, “training‑free context scaling” methods showed that you can extend context windows mostly by </w:t>
            </w:r>
            <w:r w:rsidDel="00000000" w:rsidR="00000000" w:rsidRPr="00000000">
              <w:rPr>
                <w:rFonts w:ascii="Times New Roman" w:cs="Times New Roman" w:eastAsia="Times New Roman" w:hAnsi="Times New Roman"/>
                <w:i w:val="1"/>
                <w:iCs w:val="1"/>
                <w:sz w:val="24"/>
                <w:szCs w:val="24"/>
                <w:rtl w:val="0"/>
              </w:rPr>
              <w:t xml:space="preserve">re‑parameterizing attention</w:t>
            </w:r>
            <w:r w:rsidDel="00000000" w:rsidR="00000000" w:rsidRPr="00000000">
              <w:rPr>
                <w:rFonts w:ascii="Times New Roman" w:cs="Times New Roman" w:eastAsia="Times New Roman" w:hAnsi="Times New Roman"/>
                <w:sz w:val="24"/>
                <w:szCs w:val="24"/>
                <w:rtl w:val="0"/>
              </w:rPr>
              <w:t xml:space="preserve">: Position Interpolation and NTK‑aware scaled RoPE rescale rotary positional embeddings to extrapolate safely beyond the pretraining length, YaRN refines this interpolation, and Dual Chunk Attention (ChunkLlama) decomposes attention into intra‑ and inter‑chunk modules so LLaMA‑class models reach 100k+ tokens without continual training.</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already clear that context lengths beyond pretraining hurt performance and that retraining big models on long sequences was prohibitively expensive; these RoPE‑rescaling and chunk‑attention schemes provided a practical </w:t>
            </w:r>
            <w:r w:rsidDel="00000000" w:rsidR="00000000" w:rsidRPr="00000000">
              <w:rPr>
                <w:rFonts w:ascii="Times New Roman" w:cs="Times New Roman" w:eastAsia="Times New Roman" w:hAnsi="Times New Roman"/>
                <w:i w:val="1"/>
                <w:iCs w:val="1"/>
                <w:sz w:val="24"/>
                <w:szCs w:val="24"/>
                <w:rtl w:val="0"/>
              </w:rPr>
              <w:t xml:space="preserve">solution pattern</w:t>
            </w:r>
            <w:r w:rsidDel="00000000" w:rsidR="00000000" w:rsidRPr="00000000">
              <w:rPr>
                <w:rFonts w:ascii="Times New Roman" w:cs="Times New Roman" w:eastAsia="Times New Roman" w:hAnsi="Times New Roman"/>
                <w:sz w:val="24"/>
                <w:szCs w:val="24"/>
                <w:rtl w:val="0"/>
              </w:rPr>
              <w:t xml:space="preserve">—simple positional and attention wrappers that unlock long windows with minimal extra compute—enabling real long‑document and multi‑file reasoning workloads to run on existing LLMs and seeding today’s proliferation of long‑context variants.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Training‑free hierarchical context merging of prompt chunks inside the transformer</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Hierarchical Context Merging (HOMER‑style methods) in 2024 proposed a divide‑and‑conquer scheme: split overlong inputs into manageable chunks, encode them, then hierarchically merge adjacent chunks at progressively deeper layers with token‑reduction and an optimized computation order, yielding a compact KV prefix that extends context limits (e.g., to 64k tokens) with near‑logarithmic memory growth and no additional training.</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Long reasoning over many chapters or documents was known to hit quadratic attention and KV‑cache limits; hierarchical merging offered a new </w:t>
            </w:r>
            <w:r w:rsidDel="00000000" w:rsidR="00000000" w:rsidRPr="00000000">
              <w:rPr>
                <w:rFonts w:ascii="Times New Roman" w:cs="Times New Roman" w:eastAsia="Times New Roman" w:hAnsi="Times New Roman"/>
                <w:i w:val="1"/>
                <w:iCs w:val="1"/>
                <w:sz w:val="24"/>
                <w:szCs w:val="24"/>
                <w:rtl w:val="0"/>
              </w:rPr>
              <w:t xml:space="preserve">methodological recipe</w:t>
            </w:r>
            <w:r w:rsidDel="00000000" w:rsidR="00000000" w:rsidRPr="00000000">
              <w:rPr>
                <w:rFonts w:ascii="Times New Roman" w:cs="Times New Roman" w:eastAsia="Times New Roman" w:hAnsi="Times New Roman"/>
                <w:sz w:val="24"/>
                <w:szCs w:val="24"/>
                <w:rtl w:val="0"/>
              </w:rPr>
              <w:t xml:space="preserve">—compress context in‑model via multi‑level merges instead of just enlarging windows—anticipating today’s long‑reasoning systems that iteratively condense long evidence streams while keeping enough signal for multi‑hop inference.</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recurrent memory hierarchies for multi‑scale long‑context processing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Hierarchical Memory Transformer (HMT) family in 2024 organized memory into multiple levels: segment‑level recurrence preserves selected tokens from early segments as compact memory embeddings, passes them forward along the sequence, and recalls them when needed, boosting long‑context language modeling, QA, and summarization with far fewer parameters and much lower inference memory than naive long‑context transformers.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Earlier recurrent or memory‑augmented transformers had “flat” memories that struggled to prioritize what mattered over very long spans; hierarchical memory introduced a </w:t>
            </w:r>
            <w:r w:rsidDel="00000000" w:rsidR="00000000" w:rsidRPr="00000000">
              <w:rPr>
                <w:rFonts w:ascii="Times New Roman" w:cs="Times New Roman" w:eastAsia="Times New Roman" w:hAnsi="Times New Roman"/>
                <w:i w:val="1"/>
                <w:iCs w:val="1"/>
                <w:sz w:val="24"/>
                <w:szCs w:val="24"/>
                <w:rtl w:val="0"/>
              </w:rPr>
              <w:t xml:space="preserve">multi‑scale memory design</w:t>
            </w:r>
            <w:r w:rsidDel="00000000" w:rsidR="00000000" w:rsidRPr="00000000">
              <w:rPr>
                <w:rFonts w:ascii="Times New Roman" w:cs="Times New Roman" w:eastAsia="Times New Roman" w:hAnsi="Times New Roman"/>
                <w:sz w:val="24"/>
                <w:szCs w:val="24"/>
                <w:rtl w:val="0"/>
              </w:rPr>
              <w:t xml:space="preserve"> where local detail and compressed global summaries coexist, which is exactly the kind of architecture later long‑reasoning models rely on to track entities, goals, and arguments across hundreds of thousands of tokens.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Selective state‑space sequence models as attention‑free long‑context backbones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Mamba’s selective state space models, introduced in late 2023, replaced self‑attention with an input‑gated recurrence whose parameters are dynamically modulated, giving linear‑time sequence modeling whose language perplexity </w:t>
            </w:r>
            <w:r w:rsidDel="00000000" w:rsidR="00000000" w:rsidRPr="00000000">
              <w:rPr>
                <w:rFonts w:ascii="Times New Roman" w:cs="Times New Roman" w:eastAsia="Times New Roman" w:hAnsi="Times New Roman"/>
                <w:i w:val="1"/>
                <w:iCs w:val="1"/>
                <w:sz w:val="24"/>
                <w:szCs w:val="24"/>
                <w:rtl w:val="0"/>
              </w:rPr>
              <w:t xml:space="preserve">improves</w:t>
            </w:r>
            <w:r w:rsidDel="00000000" w:rsidR="00000000" w:rsidRPr="00000000">
              <w:rPr>
                <w:rFonts w:ascii="Times New Roman" w:cs="Times New Roman" w:eastAsia="Times New Roman" w:hAnsi="Times New Roman"/>
                <w:sz w:val="24"/>
                <w:szCs w:val="24"/>
                <w:rtl w:val="0"/>
              </w:rPr>
              <w:t xml:space="preserve"> up to million‑token contexts and matches or exceeds transformers of similar or even twice the size, while delivering ~5× higher throughput on long sequences.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quadratic cost and memory of attention were a well‑known barrier to truly long‑horizon reasoning (books, genomes, long logs); selective SSMs gave a radically different </w:t>
            </w:r>
            <w:r w:rsidDel="00000000" w:rsidR="00000000" w:rsidRPr="00000000">
              <w:rPr>
                <w:rFonts w:ascii="Times New Roman" w:cs="Times New Roman" w:eastAsia="Times New Roman" w:hAnsi="Times New Roman"/>
                <w:i w:val="1"/>
                <w:iCs w:val="1"/>
                <w:sz w:val="24"/>
                <w:szCs w:val="24"/>
                <w:rtl w:val="0"/>
              </w:rPr>
              <w:t xml:space="preserve">solution direction</w:t>
            </w:r>
            <w:r w:rsidDel="00000000" w:rsidR="00000000" w:rsidRPr="00000000">
              <w:rPr>
                <w:rFonts w:ascii="Times New Roman" w:cs="Times New Roman" w:eastAsia="Times New Roman" w:hAnsi="Times New Roman"/>
                <w:sz w:val="24"/>
                <w:szCs w:val="24"/>
                <w:rtl w:val="0"/>
              </w:rPr>
              <w:t xml:space="preserve">—linear‑time recurrent backbones that can keep useful information over hundreds of thousands of steps—paving the way for long‑context reasoning systems that don’t depend on ever‑larger attention windows.</w:t>
            </w:r>
            <w:r w:rsidDel="00000000" w:rsidR="00000000" w:rsidRPr="00000000">
              <w:rPr>
                <w:rtl w:val="0"/>
              </w:rPr>
            </w:r>
          </w:p>
        </w:tc>
      </w:tr>
    </w:tbl>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7</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Information‑intensive long‑context curricula that force models to attend anywhere in the window</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“Make Your LLM Fully Utilize the Context” (IN² training) in 2024 synthesized long‑context QA data where answers depend on short (~128‑token) segments embedded anywhere inside 4k–32k‑token prompts, often requiring combining multiple segments; fine‑tuning Mistral‑7B on this curriculum yielded FILM‑7B, which robustly retrieves from any position and improves real long‑context tasks such as NarrativeQA, while preserving short‑context performance.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like “Lost in the Middle” and LongICLBench had already shown that simply enlarging the window doesn’t make models </w:t>
            </w:r>
            <w:r w:rsidDel="00000000" w:rsidR="00000000" w:rsidRPr="00000000">
              <w:rPr>
                <w:rFonts w:ascii="Times New Roman" w:cs="Times New Roman" w:eastAsia="Times New Roman" w:hAnsi="Times New Roman"/>
                <w:i w:val="1"/>
                <w:iCs w:val="1"/>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over all positions in long prompts. IN² provided a clear solution: a data‑driven training scheme that explicitly supervises retrieval and multi‑segment reasoning across the entire window, which has since inspired many long‑context fine-tuning recipes aimed at turning raw context length into genuine long‑range reasoning ability.</w:t>
            </w:r>
          </w:p>
        </w:tc>
      </w:tr>
    </w:tbl>
    <w:p w:rsidR="00000000" w:rsidDel="00000000" w:rsidP="00000000" w:rsidRDefault="00000000" w:rsidRPr="00000000" w14:paraId="00000046">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8</w:t>
      </w:r>
    </w:p>
    <w:tbl>
      <w:tblPr>
        <w:tblStyle w:val="Table8"/>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95"/>
        <w:tblGridChange w:id="0">
          <w:tblGrid>
            <w:gridCol w:w="1965"/>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Long‑context continual pretraining and synthetic long‑instruction tuning for foundation models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“Effective Long‑Context Scaling of Foundation Models” (Meta, 2023–24) showed that you can start from a short‑context LLaMA‑2, then apply continual pretraining on longer sequences with a length curriculum and a modest upsampling of long documents, followed by an automated pipeline that generates synthetic long‑instruction data from short‑context models, producing 32k‑context models whose 70B variant surpasses GPT‑3.5‑16k on a suite of long‑context tasks.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Long Context Modeling for Long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that naive long‑sequence pretraining was too expensive and that long‑instruction data was scarce; this work offered a </w:t>
            </w:r>
            <w:r w:rsidDel="00000000" w:rsidR="00000000" w:rsidRPr="00000000">
              <w:rPr>
                <w:rFonts w:ascii="Times New Roman" w:cs="Times New Roman" w:eastAsia="Times New Roman" w:hAnsi="Times New Roman"/>
                <w:i w:val="1"/>
                <w:iCs w:val="1"/>
                <w:sz w:val="24"/>
                <w:szCs w:val="24"/>
                <w:rtl w:val="0"/>
              </w:rPr>
              <w:t xml:space="preserve">scalable solution recipe</w:t>
            </w:r>
            <w:r w:rsidDel="00000000" w:rsidR="00000000" w:rsidRPr="00000000">
              <w:rPr>
                <w:rFonts w:ascii="Times New Roman" w:cs="Times New Roman" w:eastAsia="Times New Roman" w:hAnsi="Times New Roman"/>
                <w:sz w:val="24"/>
                <w:szCs w:val="24"/>
                <w:rtl w:val="0"/>
              </w:rPr>
              <w:t xml:space="preserve">—stage‑wise long‑context continual pretraining plus self‑instructed long tasks—that underlies many current production long‑context models used for multi‑document question answering, long‑form planning, and other long‑reasoning workloads.</w:t>
            </w:r>
            <w:r w:rsidDel="00000000" w:rsidR="00000000" w:rsidRPr="00000000">
              <w:rPr>
                <w:rtl w:val="0"/>
              </w:rPr>
            </w:r>
          </w:p>
        </w:tc>
      </w:tr>
    </w:tbl>
    <w:p w:rsidR="00000000" w:rsidDel="00000000" w:rsidP="00000000" w:rsidRDefault="00000000" w:rsidRPr="00000000" w14:paraId="00000050">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