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435"/>
        <w:tblGridChange w:id="0">
          <w:tblGrid>
            <w:gridCol w:w="2610"/>
            <w:gridCol w:w="64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Macroscopic layer‑level decomposition of long‑context retrieval circuits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Variengien &amp; Winsor introduced a “zoomed‑out” mechanistic method: carefully designed long‑context retrieval prompts (ORION) plus activation patching at the last token to show that middle layers encode the </w:t>
            </w:r>
            <w:r w:rsidDel="00000000" w:rsidR="00000000" w:rsidRPr="00000000">
              <w:rPr>
                <w:rFonts w:ascii="Times New Roman" w:cs="Times New Roman" w:eastAsia="Times New Roman" w:hAnsi="Times New Roman"/>
                <w:i w:val="1"/>
                <w:iCs w:val="1"/>
                <w:sz w:val="24"/>
                <w:szCs w:val="24"/>
                <w:rtl w:val="0"/>
              </w:rPr>
              <w:t xml:space="preserve">request</w:t>
            </w:r>
            <w:r w:rsidDel="00000000" w:rsidR="00000000" w:rsidRPr="00000000">
              <w:rPr>
                <w:rFonts w:ascii="Times New Roman" w:cs="Times New Roman" w:eastAsia="Times New Roman" w:hAnsi="Times New Roman"/>
                <w:sz w:val="24"/>
                <w:szCs w:val="24"/>
                <w:rtl w:val="0"/>
              </w:rPr>
              <w:t xml:space="preserve"> while later layers perform </w:t>
            </w:r>
            <w:r w:rsidDel="00000000" w:rsidR="00000000" w:rsidRPr="00000000">
              <w:rPr>
                <w:rFonts w:ascii="Times New Roman" w:cs="Times New Roman" w:eastAsia="Times New Roman" w:hAnsi="Times New Roman"/>
                <w:i w:val="1"/>
                <w:iCs w:val="1"/>
                <w:sz w:val="24"/>
                <w:szCs w:val="24"/>
                <w:rtl w:val="0"/>
              </w:rPr>
              <w:t xml:space="preserve">context retrieval</w:t>
            </w:r>
            <w:r w:rsidDel="00000000" w:rsidR="00000000" w:rsidRPr="00000000">
              <w:rPr>
                <w:rFonts w:ascii="Times New Roman" w:cs="Times New Roman" w:eastAsia="Times New Roman" w:hAnsi="Times New Roman"/>
                <w:sz w:val="24"/>
                <w:szCs w:val="24"/>
                <w:rtl w:val="0"/>
              </w:rPr>
              <w:t xml:space="preserve"> across many tokens.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Towards Mechanistical Interpretability for Long Context Modeling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Long‑context retrieval was a known capability, but the internal algorithm was opaque; this work proposed a concrete </w:t>
            </w:r>
            <w:r w:rsidDel="00000000" w:rsidR="00000000" w:rsidRPr="00000000">
              <w:rPr>
                <w:rFonts w:ascii="Times New Roman" w:cs="Times New Roman" w:eastAsia="Times New Roman" w:hAnsi="Times New Roman"/>
                <w:i w:val="1"/>
                <w:iCs w:val="1"/>
                <w:sz w:val="24"/>
                <w:szCs w:val="24"/>
                <w:rtl w:val="0"/>
              </w:rPr>
              <w:t xml:space="preserve">procedure</w:t>
            </w:r>
            <w:r w:rsidDel="00000000" w:rsidR="00000000" w:rsidRPr="00000000">
              <w:rPr>
                <w:rFonts w:ascii="Times New Roman" w:cs="Times New Roman" w:eastAsia="Times New Roman" w:hAnsi="Times New Roman"/>
                <w:sz w:val="24"/>
                <w:szCs w:val="24"/>
                <w:rtl w:val="0"/>
              </w:rPr>
              <w:t xml:space="preserve">—macro‑scale causal patching over structured long‑context tasks—that exposed a reusable “request‑then‑retrieve” circuit template, giving others a recipe for mechanistically dissecting long‑context behavior without starting from neurons or heads.</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525"/>
        <w:tblGridChange w:id="0">
          <w:tblGrid>
            <w:gridCol w:w="2520"/>
            <w:gridCol w:w="65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Head‑level retrieval profiling and causal ablation for long‑context factuality</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2024, Wu et al. systematically scored every attention head in long‑context LLMs by how often it performs copy‑from‑context in Needle‑in‑a‑Haystack tasks, defining “retrieval scores” and identifying a tiny sparse set of “retrieval heads” that implement conditional copy‑paste from arbitrary locations in very long contexts.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Towards Mechanistical Interpretability for Long Context Modeling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field already knew that long‑context models could retrieve needles, but not </w:t>
            </w:r>
            <w:r w:rsidDel="00000000" w:rsidR="00000000" w:rsidRPr="00000000">
              <w:rPr>
                <w:rFonts w:ascii="Times New Roman" w:cs="Times New Roman" w:eastAsia="Times New Roman" w:hAnsi="Times New Roman"/>
                <w:i w:val="1"/>
                <w:iCs w:val="1"/>
                <w:sz w:val="24"/>
                <w:szCs w:val="24"/>
                <w:rtl w:val="0"/>
              </w:rPr>
              <w:t xml:space="preserve">which subnetwork did it</w:t>
            </w:r>
            <w:r w:rsidDel="00000000" w:rsidR="00000000" w:rsidRPr="00000000">
              <w:rPr>
                <w:rFonts w:ascii="Times New Roman" w:cs="Times New Roman" w:eastAsia="Times New Roman" w:hAnsi="Times New Roman"/>
                <w:sz w:val="24"/>
                <w:szCs w:val="24"/>
                <w:rtl w:val="0"/>
              </w:rPr>
              <w:t xml:space="preserve">; this method showed how to </w:t>
            </w:r>
            <w:r w:rsidDel="00000000" w:rsidR="00000000" w:rsidRPr="00000000">
              <w:rPr>
                <w:rFonts w:ascii="Times New Roman" w:cs="Times New Roman" w:eastAsia="Times New Roman" w:hAnsi="Times New Roman"/>
                <w:i w:val="1"/>
                <w:iCs w:val="1"/>
                <w:sz w:val="24"/>
                <w:szCs w:val="24"/>
                <w:rtl w:val="0"/>
              </w:rPr>
              <w:t xml:space="preserve">locate and verify</w:t>
            </w:r>
            <w:r w:rsidDel="00000000" w:rsidR="00000000" w:rsidRPr="00000000">
              <w:rPr>
                <w:rFonts w:ascii="Times New Roman" w:cs="Times New Roman" w:eastAsia="Times New Roman" w:hAnsi="Times New Roman"/>
                <w:sz w:val="24"/>
                <w:szCs w:val="24"/>
                <w:rtl w:val="0"/>
              </w:rPr>
              <w:t xml:space="preserve"> the responsible heads via metrics and causal ablations, directly tying specific components to long‑context factuality and CoT reasoning and seeding a whole line of “retrieval‑head–centric” interpretability and KV‑cache optimization for long contexts.</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450"/>
        <w:tblGridChange w:id="0">
          <w:tblGrid>
            <w:gridCol w:w="2595"/>
            <w:gridCol w:w="64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Attention‑pattern diagnostics for RoPE‑based long‑context extrapolation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Zhong et al. (2024) studied RoPE extension methods (PI, YaRN, NTK‑aware) from an </w:t>
            </w:r>
            <w:r w:rsidDel="00000000" w:rsidR="00000000" w:rsidRPr="00000000">
              <w:rPr>
                <w:rFonts w:ascii="Times New Roman" w:cs="Times New Roman" w:eastAsia="Times New Roman" w:hAnsi="Times New Roman"/>
                <w:i w:val="1"/>
                <w:iCs w:val="1"/>
                <w:sz w:val="24"/>
                <w:szCs w:val="24"/>
                <w:rtl w:val="0"/>
              </w:rPr>
              <w:t xml:space="preserve">attention‑mechanistic</w:t>
            </w:r>
            <w:r w:rsidDel="00000000" w:rsidR="00000000" w:rsidRPr="00000000">
              <w:rPr>
                <w:rFonts w:ascii="Times New Roman" w:cs="Times New Roman" w:eastAsia="Times New Roman" w:hAnsi="Times New Roman"/>
                <w:sz w:val="24"/>
                <w:szCs w:val="24"/>
                <w:rtl w:val="0"/>
              </w:rPr>
              <w:t xml:space="preserve"> angle, comparing attention distributions at short vs. long lengths and linking Jensen–Shannon divergence and attention entropy to success or failure on long‑context perplexity and Needle‑in‑a‑Haystack tests.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Towards Mechanistical Interpretability for Long Context Modeling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Long context RoPE tricks were known engineering hacks, but this work turned them into an interpretable pipeline: analyze how attention patterns distort when extrapolating, measure uncertainty, and relate that to retrieval errors—effectively giving a </w:t>
            </w:r>
            <w:r w:rsidDel="00000000" w:rsidR="00000000" w:rsidRPr="00000000">
              <w:rPr>
                <w:rFonts w:ascii="Times New Roman" w:cs="Times New Roman" w:eastAsia="Times New Roman" w:hAnsi="Times New Roman"/>
                <w:i w:val="1"/>
                <w:iCs w:val="1"/>
                <w:sz w:val="24"/>
                <w:szCs w:val="24"/>
                <w:rtl w:val="0"/>
              </w:rPr>
              <w:t xml:space="preserve">mechanistic diagnostic toolkit</w:t>
            </w:r>
            <w:r w:rsidDel="00000000" w:rsidR="00000000" w:rsidRPr="00000000">
              <w:rPr>
                <w:rFonts w:ascii="Times New Roman" w:cs="Times New Roman" w:eastAsia="Times New Roman" w:hAnsi="Times New Roman"/>
                <w:sz w:val="24"/>
                <w:szCs w:val="24"/>
                <w:rtl w:val="0"/>
              </w:rPr>
              <w:t xml:space="preserve"> for positional schemes in long‑context LLMs and pointing the way to interpretability‑guided long‑context training.</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255"/>
        <w:tblGridChange w:id="0">
          <w:tblGrid>
            <w:gridCol w:w="2790"/>
            <w:gridCol w:w="62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Iteration‑head circuits for chain‑of‑thought style long reasoning</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Cabannes et al. (2024) trained transformers in controlled CoT settings and uncovered specialized “iteration heads” – attention heads that repeatedly write and read an internal state into the token stream, implementing an iterative algorithm over long chain‑of‑thought sequences and transferring between different iterative tasks.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Towards Mechanistical Interpretability for Long Context Modeling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CoT had been treated as a behavioral trick; iteration‑head analysis provided a </w:t>
            </w:r>
            <w:r w:rsidDel="00000000" w:rsidR="00000000" w:rsidRPr="00000000">
              <w:rPr>
                <w:rFonts w:ascii="Times New Roman" w:cs="Times New Roman" w:eastAsia="Times New Roman" w:hAnsi="Times New Roman"/>
                <w:i w:val="1"/>
                <w:iCs w:val="1"/>
                <w:sz w:val="24"/>
                <w:szCs w:val="24"/>
                <w:rtl w:val="0"/>
              </w:rPr>
              <w:t xml:space="preserve">component‑level mechanism</w:t>
            </w:r>
            <w:r w:rsidDel="00000000" w:rsidR="00000000" w:rsidRPr="00000000">
              <w:rPr>
                <w:rFonts w:ascii="Times New Roman" w:cs="Times New Roman" w:eastAsia="Times New Roman" w:hAnsi="Times New Roman"/>
                <w:sz w:val="24"/>
                <w:szCs w:val="24"/>
                <w:rtl w:val="0"/>
              </w:rPr>
              <w:t xml:space="preserve"> for long‑horizon reasoning over many tokens, demonstrating that specific heads implement iterative updates across extended contexts and suggesting that similar head‑level motifs could explain long‑context reasoning and planning in larger LLMs.</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435"/>
        <w:tblGridChange w:id="0">
          <w:tblGrid>
            <w:gridCol w:w="2610"/>
            <w:gridCol w:w="64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Layer‑swap and deletion experiments to infer depth‑wise stages of inference</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Lad et al. (2024) deleted and swapped adjacent layers in multiple LLM families and showed that models retain most of their accuracy, with sensitivity concentrated at early and late layers; from this they hypothesized four universal “stages of inference” (detokenization, feature engineering, prediction ensembling, residual sharpening) tied to depth.</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Towards Mechanistical Interpretability for Long Context Modeling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Long‑context behavior clearly depends on </w:t>
            </w:r>
            <w:r w:rsidDel="00000000" w:rsidR="00000000" w:rsidRPr="00000000">
              <w:rPr>
                <w:rFonts w:ascii="Times New Roman" w:cs="Times New Roman" w:eastAsia="Times New Roman" w:hAnsi="Times New Roman"/>
                <w:i w:val="1"/>
                <w:iCs w:val="1"/>
                <w:sz w:val="24"/>
                <w:szCs w:val="24"/>
                <w:rtl w:val="0"/>
              </w:rPr>
              <w:t xml:space="preserve">where</w:t>
            </w:r>
            <w:r w:rsidDel="00000000" w:rsidR="00000000" w:rsidRPr="00000000">
              <w:rPr>
                <w:rFonts w:ascii="Times New Roman" w:cs="Times New Roman" w:eastAsia="Times New Roman" w:hAnsi="Times New Roman"/>
                <w:sz w:val="24"/>
                <w:szCs w:val="24"/>
                <w:rtl w:val="0"/>
              </w:rPr>
              <w:t xml:space="preserve"> along depth information is integrated and retrieved, and this work proposed a general, intervention‑based </w:t>
            </w:r>
            <w:r w:rsidDel="00000000" w:rsidR="00000000" w:rsidRPr="00000000">
              <w:rPr>
                <w:rFonts w:ascii="Times New Roman" w:cs="Times New Roman" w:eastAsia="Times New Roman" w:hAnsi="Times New Roman"/>
                <w:i w:val="1"/>
                <w:iCs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for mapping depth‑wise roles; that framework can be re‑applied with long‑context probes (e.g., Needle, ORION) to locate which stages handle long‑range retrieval and reasoning, bridging global depth structure with long‑context mechanistic analyses.</w:t>
            </w:r>
            <w:r w:rsidDel="00000000" w:rsidR="00000000" w:rsidRPr="00000000">
              <w:rPr>
                <w:rtl w:val="0"/>
              </w:rPr>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