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Crowdsourced, tree‑structured assistant conversations with per‑message human ratings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OpenAssistant Conversations (OASST1) collected a fully human‑generated, human‑annotated multi‑turn assistant corpus: 161k messages in 35 languages organized as conversation trees, with ~460k human quality ratings from 13k+ volunteers.</w:t>
            </w:r>
            <w:r w:rsidDel="00000000" w:rsidR="00000000" w:rsidRPr="00000000">
              <w:rPr>
                <w:rtl w:val="0"/>
              </w:rPr>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Human-crafted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attacked the known problem that high‑quality RLHF/SFT data was proprietary and monolingual by showing a concrete recipe—global volunteer crowdsourcing plus structured tree annotations—that became a template for today’s large, open, human‑crafted chat corpora.</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User‑in‑the‑wild instruction logs as primary supervision data</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“Instruction in the Wild” and related efforts compiled &gt;110k </w:t>
            </w:r>
            <w:r w:rsidDel="00000000" w:rsidR="00000000" w:rsidRPr="00000000">
              <w:rPr>
                <w:rFonts w:ascii="Times New Roman" w:cs="Times New Roman" w:eastAsia="Times New Roman" w:hAnsi="Times New Roman"/>
                <w:i w:val="1"/>
                <w:iCs w:val="1"/>
                <w:sz w:val="24"/>
                <w:szCs w:val="24"/>
                <w:rtl w:val="0"/>
              </w:rPr>
              <w:t xml:space="preserve">real user</w:t>
            </w:r>
            <w:r w:rsidDel="00000000" w:rsidR="00000000" w:rsidRPr="00000000">
              <w:rPr>
                <w:rFonts w:ascii="Times New Roman" w:cs="Times New Roman" w:eastAsia="Times New Roman" w:hAnsi="Times New Roman"/>
                <w:sz w:val="24"/>
                <w:szCs w:val="24"/>
                <w:rtl w:val="0"/>
              </w:rPr>
              <w:t xml:space="preserve"> instructions from production systems, explicitly avoiding self‑instruct synthesis and labeling a subset with instruction types and special tags for analysis and tuning.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Human-crafted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Synthetic instruction datasets were known to be stylized and distribution‑shifted; mining authentic user prompts introduced a new solution pattern—treat human behavior logs as the core instruction source—which underlies current practices of training on real chat logs and product telemetry rather than purely synthetic prompts.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Multi‑attribute human quality annotation for model responses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HelpSteer introduced human‑annotated prompt–response pairs where each answer is rated on multiple dimensions (helpfulness, correctness, coherence, complexity, verbosity) using Likert scores, rather than a single scalar preference label.</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Human-crafted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One‑dimensional preference data was a known bottleneck—models could game length or style; multi‑attribute annotation provided a concrete method to capture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 response is good, seeding today’s widespread use of richly labeled human‑crafted datasets for steerable and multi‑objective alignment.</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crowdsourced pairwise comparisons from live evaluation platforms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Chatbot Arena launched a public “battle” platform where users compare two model answers and vote, yielding tens of thousands of conversations with pairwise human preferences and, over time, hundreds of thousands of votes used to build an Elo‑style leaderboard and an open preference dataset.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Human-crafted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Static benchmarks and small lab studies were known to miss real‑world behavior; Arena’s design turned </w:t>
            </w:r>
            <w:r w:rsidDel="00000000" w:rsidR="00000000" w:rsidRPr="00000000">
              <w:rPr>
                <w:rFonts w:ascii="Times New Roman" w:cs="Times New Roman" w:eastAsia="Times New Roman" w:hAnsi="Times New Roman"/>
                <w:i w:val="1"/>
                <w:iCs w:val="1"/>
                <w:sz w:val="24"/>
                <w:szCs w:val="24"/>
                <w:rtl w:val="0"/>
              </w:rPr>
              <w:t xml:space="preserve">evaluation itself</w:t>
            </w:r>
            <w:r w:rsidDel="00000000" w:rsidR="00000000" w:rsidRPr="00000000">
              <w:rPr>
                <w:rFonts w:ascii="Times New Roman" w:cs="Times New Roman" w:eastAsia="Times New Roman" w:hAnsi="Times New Roman"/>
                <w:sz w:val="24"/>
                <w:szCs w:val="24"/>
                <w:rtl w:val="0"/>
              </w:rPr>
              <w:t xml:space="preserve"> into a scalable source of human‑crafted data, foreshadowing today’s practice of harvesting large, continuously updated human preference logs from live platforms for both training and evaluation.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red‑teaming dialogues as dedicated safety training/eval corpora</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Safety datasets such as Anthropic’s HH‑RLHF and red‑team corpora collected thousands of adversarial, human‑written conversations probing model boundaries, plus post‑hoc human tags describing the type of safety risk (e.g., self‑harm, bias, illegal advice).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Human-crafted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Harmful and jailbroken outputs were a known issue, but training data was mostly benign instructions; curated red‑team dialogues offered a specific solution—targeted, human‑crafted adversarial examples with rich labels—that now anchor safety‑critical human datasets used for alignment and evaluation.</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Human‑centered credibility audits and relabeling of safety datasets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Gungsuh" w:cs="Gungsuh" w:eastAsia="Gungsuh" w:hAnsi="Gungsuh"/>
                <w:sz w:val="24"/>
                <w:szCs w:val="24"/>
                <w:rtl w:val="0"/>
              </w:rPr>
              <w:t xml:space="preserve">“A Study with Datasets for Training Harmless Language Models” proposed a framework to systematically evaluate data credibility and fix label errors (≈6% on average) in widely used harmlessness/safety datasets like PKU SafeRLHF, BeaverTails, and Anthropic Harmless/Red‑Team, and showed downstream gains after cleaning.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Human-crafted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suspected that existing “human‑labeled” safety corpora were noisy; this work introduced a concrete method—human‑guided error detection and relabeling at scale—highlighting that human-crafted data must itself be audited and improved, a norm that now shapes many modern curation pipelines.</w:t>
            </w:r>
            <w:r w:rsidDel="00000000" w:rsidR="00000000" w:rsidRPr="00000000">
              <w:rPr>
                <w:rtl w:val="0"/>
              </w:rPr>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Expert‑labeled multilingual instruction and evaluation sets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Projects like the Aya Dataset and Vision‑FLAN scaled </w:t>
            </w:r>
            <w:r w:rsidDel="00000000" w:rsidR="00000000" w:rsidRPr="00000000">
              <w:rPr>
                <w:rFonts w:ascii="Times New Roman" w:cs="Times New Roman" w:eastAsia="Times New Roman" w:hAnsi="Times New Roman"/>
                <w:i w:val="1"/>
                <w:iCs w:val="1"/>
                <w:sz w:val="24"/>
                <w:szCs w:val="24"/>
                <w:rtl w:val="0"/>
              </w:rPr>
              <w:t xml:space="preserve">human‑labeled</w:t>
            </w:r>
            <w:r w:rsidDel="00000000" w:rsidR="00000000" w:rsidRPr="00000000">
              <w:rPr>
                <w:rFonts w:ascii="Times New Roman" w:cs="Times New Roman" w:eastAsia="Times New Roman" w:hAnsi="Times New Roman"/>
                <w:sz w:val="24"/>
                <w:szCs w:val="24"/>
                <w:rtl w:val="0"/>
              </w:rPr>
              <w:t xml:space="preserve"> tasks across languages and modalities, including a subset of “aya‑human‑annotated” prompts (250 original human‑written instructions per language across several languages) and large collections of human‑labeled visual and text tasks for instruction tuning.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Human-crafted Data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well known that alignment was overly English‑centric and synthetic‑heavy; these expert‑labeled multilingual corpora offered a solution pattern—small but carefully crafted human datasets covering diverse languages and skills—which underpins current emphasis on high‑quality human-crafted data for global, multimodal LLMs.</w:t>
            </w:r>
            <w:r w:rsidDel="00000000" w:rsidR="00000000" w:rsidRPr="00000000">
              <w:rPr>
                <w:rtl w:val="0"/>
              </w:rPr>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