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6900"/>
        <w:tblGridChange w:id="0">
          <w:tblGrid>
            <w:gridCol w:w="2145"/>
            <w:gridCol w:w="690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Reference‑free implicit rewards inside preference optimization</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line of preference-optimization methods that removed explicit reward models and reference policies by treating the model’s own length‑normalized log‑likelihood as an </w:t>
            </w:r>
            <w:r w:rsidDel="00000000" w:rsidR="00000000" w:rsidRPr="00000000">
              <w:rPr>
                <w:rFonts w:ascii="Times New Roman" w:cs="Times New Roman" w:eastAsia="Times New Roman" w:hAnsi="Times New Roman"/>
                <w:i w:val="1"/>
                <w:iCs w:val="1"/>
                <w:sz w:val="24"/>
                <w:szCs w:val="24"/>
                <w:rtl w:val="0"/>
              </w:rPr>
              <w:t xml:space="preserve">implicit</w:t>
            </w:r>
            <w:r w:rsidDel="00000000" w:rsidR="00000000" w:rsidRPr="00000000">
              <w:rPr>
                <w:rFonts w:ascii="Times New Roman" w:cs="Times New Roman" w:eastAsia="Times New Roman" w:hAnsi="Times New Roman"/>
                <w:sz w:val="24"/>
                <w:szCs w:val="24"/>
                <w:rtl w:val="0"/>
              </w:rPr>
              <w:t xml:space="preserve"> reward, with SimPO as a canonical example using average log‑probability of the sequence as the reward signal.</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Unsupervised Rewards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long‑known problem was that RLHF rewards were expensive and brittle, requiring separate reward networks and reference models; this direction showed you could instead derive scalar rewards directly from the policy’s intrinsic statistics (its own probabilities), prefiguring unsupervised reward schemes that abandon external reward models in favor of model‑internal signals.</w:t>
            </w:r>
          </w:p>
        </w:tc>
      </w:tr>
    </w:tbl>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6855"/>
        <w:tblGridChange w:id="0">
          <w:tblGrid>
            <w:gridCol w:w="2190"/>
            <w:gridCol w:w="685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Unsupervised reward‑model refinement from unlabeled policy rollouts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Frameworks like Reward Learning on Policy (RLP) retrain reward models using unlabeled policy samples, combining unsupervised multi‑view representation learning with synthetic preferences constructed from policy outputs—explicitly marketed as “refining a reward model using policy samples in an unsupervised manner.”</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Unsupervised Rewards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known problem was RLHF reward models going off‑distribution as the policy shifts; RLP’s key move was to treat policy behavior itself as training signal for the reward, an early concrete method for turning unlabeled rollouts into reward updates, which later Unsupervised Rewards work generalizes into full RL loops driven solely by self‑generated or intrinsic reward.</w:t>
            </w:r>
          </w:p>
        </w:tc>
      </w:tr>
    </w:tbl>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870"/>
        <w:tblGridChange w:id="0">
          <w:tblGrid>
            <w:gridCol w:w="2175"/>
            <w:gridCol w:w="687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LLM‑as‑a‑judge self-generated preference data (self‑rewarding alignment)</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self‑rewarding language model paradigm had a model generate candidate answers, then use an LLM‑as‑a‑judge prompt to score its own outputs and build preference pairs, running iterative DPO on these self‑constructed preferences starting from only a small seed of supervised data.</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Unsupervised Rewards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underlying problem (human preference data is scarce and expensive) was old; the new solution was to replace human raters with the model’s own judgments as the reward source, operationalizing “reward without humans in the loop” and directly inspiring later unsupervised reward schemes where models learn almost entirely from internally generated evaluations.</w:t>
            </w:r>
          </w:p>
        </w:tc>
      </w:tr>
    </w:tbl>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6900"/>
        <w:tblGridChange w:id="0">
          <w:tblGrid>
            <w:gridCol w:w="2145"/>
            <w:gridCol w:w="690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Consistency-based self-training from generator–validator agreement</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Generator–validator consistency work defined automatic “consistency labels” by comparing a model’s generator output with its validator judgment, then fine‑tuned only on examples where the two agree; this “consistency fine‑tuning” improved both generator and validator performance while explicitly requiring </w:t>
            </w:r>
            <w:r w:rsidDel="00000000" w:rsidR="00000000" w:rsidRPr="00000000">
              <w:rPr>
                <w:rFonts w:ascii="Times New Roman" w:cs="Times New Roman" w:eastAsia="Times New Roman" w:hAnsi="Times New Roman"/>
                <w:i w:val="1"/>
                <w:iCs w:val="1"/>
                <w:sz w:val="24"/>
                <w:szCs w:val="24"/>
                <w:rtl w:val="0"/>
              </w:rPr>
              <w:t xml:space="preserve">no human‑labeled data</w:t>
            </w:r>
            <w:r w:rsidDel="00000000" w:rsidR="00000000" w:rsidRPr="00000000">
              <w:rPr>
                <w:rFonts w:ascii="Times New Roman" w:cs="Times New Roman" w:eastAsia="Times New Roman" w:hAnsi="Times New Roman"/>
                <w:sz w:val="24"/>
                <w:szCs w:val="24"/>
                <w:rtl w:val="0"/>
              </w:rPr>
              <w:t xml:space="preserve"> for the new training signal.</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Unsupervised Rewards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the problem was internal inconsistency and trustworthiness, and the solution was to treat internal agreement as a reward-like signal (consistent pairs get implicitly rewarded, inconsistent ones discarded); that move—turning internal coherence into a training objective—foreshadowed Unsupervised Rewards that score trajectories by self‑consistency or agreement rather than any external label.</w:t>
            </w:r>
          </w:p>
        </w:tc>
      </w:tr>
    </w:tbl>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7095"/>
        <w:tblGridChange w:id="0">
          <w:tblGrid>
            <w:gridCol w:w="1950"/>
            <w:gridCol w:w="709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Self-consistency and majority-vote pseudo-labels for reasoning self-training</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Self‑training pipelines for reasoning began to sample many chain‑of‑thought solutions, cluster or majority‑vote them, and fine‑tune on the “consistent” subset, as in “Large Language Models Can Self‑Improve” and in RLP’s synthetic preference generation which uses semantic clustering and self‑consistency assumptions to build preference pairs from policy outputs.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Unsupervised Rewards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methods tackled the scarcity of rationale‑annotated data by treating agreement among the model’s own sampled rationales as a proxy for correctness, effectively using frequency and semantic consistency as a reward signal—exactly the ensemble/self‑consistency‑based intrinsic rewards that later Unsupervised Rewards frameworks formalize and scale.</w:t>
            </w:r>
          </w:p>
        </w:tc>
      </w:tr>
    </w:tbl>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930"/>
        <w:tblGridChange w:id="0">
          <w:tblGrid>
            <w:gridCol w:w="2115"/>
            <w:gridCol w:w="693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Pretraining-scale reasoning rewards on raw text (Reasoning-Advantage style objectives)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Work like “Towards Learning to Reason at Pre‑Training Scale” asked what a good reward for reasoning during pretraining should look like and proposed Reasoning Advantage (RA)—a reward defined by how much a chain‑of‑thought answer improves the model’s own scoring relative to a direct answer—then optimized RA on free‑form QA and even general unstructured text via offline RL.</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Unsupervised Rewards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longstanding problem was lack of labeled reasoning data at pretraining scale; RA showed you could compute a reasoning reward purely from model-internal comparisons on unlabeled corpora, a direct conceptual precursor to Unsupervised Rewards that aim to drive large‑scale reasoning improvement using intrinsic reward functions over raw text rather than curated labels.</w:t>
            </w:r>
          </w:p>
        </w:tc>
      </w:tr>
    </w:tbl>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