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Teacher‑LM–generated instruction–response corpora for open student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groups showed that you can start from an open base model (e.g., LLaMA‑7B) and fine‑tune it purely on instruction–response pairs generated by a stronger closed teacher like text‑davinci‑003 or similar, as in Alpaca and related pipelines derived from Self‑Instruct and Unnatural Instructions.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shortage of high‑quality human instruction data was already a known bottleneck; these methods introduced a concrete solution pattern—</w:t>
            </w:r>
            <w:r w:rsidDel="00000000" w:rsidR="00000000" w:rsidRPr="00000000">
              <w:rPr>
                <w:rFonts w:ascii="Times New Roman" w:cs="Times New Roman" w:eastAsia="Times New Roman" w:hAnsi="Times New Roman"/>
                <w:i w:val="1"/>
                <w:iCs w:val="1"/>
                <w:sz w:val="24"/>
                <w:szCs w:val="24"/>
                <w:rtl w:val="0"/>
              </w:rPr>
              <w:t xml:space="preserve">use a powerful teacher model to synthesize the entire instruction‑tuning set for a smaller student</w:t>
            </w:r>
            <w:r w:rsidDel="00000000" w:rsidR="00000000" w:rsidRPr="00000000">
              <w:rPr>
                <w:rFonts w:ascii="Times New Roman" w:cs="Times New Roman" w:eastAsia="Times New Roman" w:hAnsi="Times New Roman"/>
                <w:sz w:val="24"/>
                <w:szCs w:val="24"/>
                <w:rtl w:val="0"/>
              </w:rPr>
              <w:t xml:space="preserve">—which later became the standard blueprint for synthetic, distilled SFT datasets across domains and languages.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605"/>
        <w:tblGridChange w:id="0">
          <w:tblGrid>
            <w:gridCol w:w="1440"/>
            <w:gridCol w:w="76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Distilling chain‑of‑thought and explanation traces into smaller students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step‑wise distillation showed that instead of only copying teacher answers, you can train students on the teacher’s intermediate reasoning—chain‑of‑thought rationales and decomposition steps—e.g., Distilling Reasoning Capabilities into Smaller LMs and Distilling Step‑by‑Step, which supervise models jointly on labels and rationales, and Orca‑style explanation tuning that imitates GPT‑4’s rich explanation traces.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clear that naïve label‑only distillation gave weak reasoning; rationale‑centric distillation proposed a new solution: treat the teacher’s multi‑step explanations themselves as synthetic training data, a template that now underpins most “reasoning distilled” synthetic datasets for math, logic, and exam‑style benchmarks.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Textbook‑style synthetic curricula distilled from teacher LMs for small specialist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“textbook‑style curriculum” line (e.g., Textbooks Are All You Need and the Phi family) trained small models by asking GPT‑3.5/4‑class teachers to generate entire synthetic textbooks and exercises in domains like Python, then mixing them with filtered “textbook‑quality” web data to teach a 1.3B–2.7B model code and reasoning skills competitive with much larger LMs.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that small models underperformed due to limited high‑quality domain data; textbook‑style synthetic curricula supplied a general distillation recipe where the teacher writes the whole “course” (explanations, examples, exercises) for a small student, foreshadowing today’s widespread use of teacher‑generated curricula as the backbone of synthetic training corpora.</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synthetic micro‑world corpora for tiny language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TinyStories and similar efforts built fully synthetic narrative worlds: GPT‑3.5/4 teachers generated short, child‑vocabulary stories that exhibit grammar, consistency, and simple reasoning, and these were used to train extremely small (&lt;10M parameter) transformers that nonetheless produce coherent multi‑paragraph text.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 known problem that very small models trained on raw web text could not speak coherent language; synthetic micro‑worlds showed a different solution: distill a teacher’s linguistic and commonsense competence into a tiny student via a carefully designed synthetic universe, inspiring later synthetic‑only or synthetic‑heavy training regimes for compact LMs.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Heterogeneous‑teacher and ensemble pipelines for synthetic instruction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Ensemble‑Instruct framed instruction synthesis as an ensemble‑teacher problem: starting from Self‑Instruct seeds, it uses multiple mid‑sized open LMs with different prompts and ICL templates, then ensembles and filters their outputs to produce higher‑quality synthetic instruction‑tuning datasets than single‑teacher Self‑Instruct, especially when large proprietary teachers are unavailable.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People already knew “call GPT‑4 and collect outputs” doesn’t scale or generalize to smaller/cheaper teachers; heterogeneous pipelines introduced a new solution class where distillation is done from a committee of teachers and prompt variants, which is now a common pattern in synthetic data factories that trade off cost, diversity, and quality.</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Teacher‑as‑judge loops for filtering and grading synthetic training corpora</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Several pipelines started using powerful LMs as graders of data quality: for example, the Phi training recipe uses GPT‑4 to label a subset of web/code documents as “high educational value” and then trains a classifier to filter the rest, and TinyStories uses GPT‑4 to grade model‑generated stories on grammar, creativity, and consistency.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recognized that naïve synthetic data could be low‑quality or repetitive; teacher‑as‑judge loops provided a distillation mechanism for labels and quality signals, where the teacher not only generates text but also filters and scores it, a pattern that is now central to large‑scale synthetic data pipelines and automated distillation of both content and preferences.</w:t>
            </w:r>
            <w:r w:rsidDel="00000000" w:rsidR="00000000" w:rsidRPr="00000000">
              <w:rPr>
                <w:rtl w:val="0"/>
              </w:rPr>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Distillation‑oriented synthetic data scaling for reasoning and exam performance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cluster of works explored scaling students mostly on synthetic, teacher‑distilled data aimed at reasoning benchmarks—e.g., explanation‑rich Orca traces for exams and BBH tasks, and step‑by‑step rationales distilled into T5‑class students that can outperform few‑shot PaLM or ChatGPT on GSM8K, ANLI, and related datasets with far less human‑labeled data.</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gap between small open models and large proprietary ones on reasoning and exams was well known; these projects treated targeted synthetic reasoning sets from a strong teacher as the main driver of scaling student capability, crystallizing today’s mainframe view that you can close much of the performance gap via cleverly distilled synthetic data rather than just more human labels or bigger architectures.</w:t>
            </w:r>
            <w:r w:rsidDel="00000000" w:rsidR="00000000" w:rsidRPr="00000000">
              <w:rPr>
                <w:rtl w:val="0"/>
              </w:rPr>
            </w:r>
          </w:p>
        </w:tc>
      </w:tr>
    </w:tbl>
    <w:p w:rsidR="00000000" w:rsidDel="00000000" w:rsidP="00000000" w:rsidRDefault="00000000" w:rsidRPr="00000000" w14:paraId="00000046">
      <w:pPr>
        <w:spacing w:after="160" w:line="301.09090909090907"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