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750"/>
        <w:tblGridChange w:id="0">
          <w:tblGrid>
            <w:gridCol w:w="2295"/>
            <w:gridCol w:w="67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Label‑semantic prompt‑based zero/few‑shot intent classification with LLMs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2023 work showed that large language models like GPT‑3 and Flan‑T5 can perform intent classification simply from </w:t>
            </w:r>
            <w:r w:rsidDel="00000000" w:rsidR="00000000" w:rsidRPr="00000000">
              <w:rPr>
                <w:rFonts w:ascii="Times New Roman" w:cs="Times New Roman" w:eastAsia="Times New Roman" w:hAnsi="Times New Roman"/>
                <w:i w:val="1"/>
                <w:iCs w:val="1"/>
                <w:sz w:val="24"/>
                <w:szCs w:val="24"/>
                <w:rtl w:val="0"/>
              </w:rPr>
              <w:t xml:space="preserve">natural‑language descriptions</w:t>
            </w:r>
            <w:r w:rsidDel="00000000" w:rsidR="00000000" w:rsidRPr="00000000">
              <w:rPr>
                <w:rFonts w:ascii="Times New Roman" w:cs="Times New Roman" w:eastAsia="Times New Roman" w:hAnsi="Times New Roman"/>
                <w:sz w:val="24"/>
                <w:szCs w:val="24"/>
                <w:rtl w:val="0"/>
              </w:rPr>
              <w:t xml:space="preserve"> of each intent: prompts list intents with short definitions plus the user utterance, and the LLM outputs the best‑matching label, often rivaling supervised models in zero‑ or few‑shot settings across domains and languages.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Intent Classification and Slot Tagging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Cold‑start and cross‑domain intent models were a long‑standing pain point; this label‑semantic prompting strategy offered a new solution pattern—treat IC as text matching between utterances and intent descriptions using a general LLM, which later became the default starting point for LLM‑based intent classifiers and inspired similar label‑aware prompting for slot tags.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840"/>
        <w:tblGridChange w:id="0">
          <w:tblGrid>
            <w:gridCol w:w="2205"/>
            <w:gridCol w:w="68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Instruction‑tuned generative frameworks that unify intent detection and slot filling with a single prompt</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2024 approaches like ILLUMINER and generative ID+SF frameworks re‑cast both intent classification and slot filling as </w:t>
            </w:r>
            <w:r w:rsidDel="00000000" w:rsidR="00000000" w:rsidRPr="00000000">
              <w:rPr>
                <w:rFonts w:ascii="Times New Roman" w:cs="Times New Roman" w:eastAsia="Times New Roman" w:hAnsi="Times New Roman"/>
                <w:i w:val="1"/>
                <w:iCs w:val="1"/>
                <w:sz w:val="24"/>
                <w:szCs w:val="24"/>
                <w:rtl w:val="0"/>
              </w:rPr>
              <w:t xml:space="preserve">text generation problems</w:t>
            </w:r>
            <w:r w:rsidDel="00000000" w:rsidR="00000000" w:rsidRPr="00000000">
              <w:rPr>
                <w:rFonts w:ascii="Times New Roman" w:cs="Times New Roman" w:eastAsia="Times New Roman" w:hAnsi="Times New Roman"/>
                <w:sz w:val="24"/>
                <w:szCs w:val="24"/>
                <w:rtl w:val="0"/>
              </w:rPr>
              <w:t xml:space="preserve"> for instruction‑tuned LLMs: prompts expose intent labels and slot types with natural‑language descriptions, and a single Instruct‑LLM call generates the intent plus a JSON‑like set of slot–value pairs, often with only parameter‑efficient adapters and very little labeled data.</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Intent Classification and Slot Tagging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community already knew joint IC+SF models exploited correlations but were data‑hungry and rigid; generative instruction‑tuned schemes provided a concrete method to collapse IC and slot tagging into one flexible, schema‑aware generation step, foreshadowing today’s mainstream practice of using instruction‑tuned LLMs as joint intent+slot parsers with minimal task‑specific architecture.</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20"/>
        <w:tblGridChange w:id="0">
          <w:tblGrid>
            <w:gridCol w:w="2325"/>
            <w:gridCol w:w="67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 slot filling prompts and LoRA fine‑tuning for noisy speech transcripts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Slot‑filling studies on SLURP and related spoken‑language datasets used LLMs with special prompts listing slot types and definitions plus linearised external knowledge, then added noise‑robust LoRA fine‑tuning to handle ASR errors when extracting slots from speech transcripts.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Intent Classification and Slot Tagging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Spoken‑language IC+slot systems had long been bottlenecked by ASR errors and domain data scarcity; these LLM‑centric prompting and fine‑tuning tricks offered a new solution—treat speech NLU as LLM slot filling with explicit slot schemas and ASR‑aware adapters—which later shaped how intent and slot models are built for voice assistants and contact‑center SLU.</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65"/>
        <w:tblGridChange w:id="0">
          <w:tblGrid>
            <w:gridCol w:w="2280"/>
            <w:gridCol w:w="67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LLM‑generated synthetic utterances and labels to bootstrap intent and slot classifiers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Industrial work first used GPT‑3‑class models to paraphrase seed utterances and generate new examples from intent descriptions, then 2024 studies explicitly investigated using LLMs to generate labeled training data—utterance plus intent (and sometimes slots)—to boost downstream intent classifiers under low‑resource conditions.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Intent Classification and Slot Tagging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already clear that manual annotation for intents and slots doesn’t scale across customers and domains; these pipelines demonstrated a viable solution where LLMs act as data factories for IC+slot models, seeding the now‑mainstream view that large parts of intent and slot tagging datasets can be synthetically distilled instead of hand‑labeled.</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25"/>
        <w:tblGridChange w:id="0">
          <w:tblGrid>
            <w:gridCol w:w="2220"/>
            <w:gridCol w:w="68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Training‑free LLM pipelines for open‑set intent and slot discovery</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Methods like IntentGPT and zero‑shot slot‑filling workflows prompt GPT‑4‑class models with a handful of labeled examples and known intents, then ask the model to propose new intents or slot labels and assign utterances to them, using in‑context prompt generators, semantic few‑shot sampling, and iterative slot induction to grow the schema without supervised training.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Intent Classification and Slot Tagging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Dynamic, emerging intents and slots were a long‑recognized problem that clustering‑based discovery only partially solved; these LLM‑driven discovery pipelines introduced a new solution pattern—let the model itself name, describe, and populate new intents/slots from a few examples—which underlies modern “open‑set” intent and slot tagging systems.</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Function‑calling and JSON‑schema tool use as a structured replacement for intent + slot models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As LLM tool‑ and function‑calling emerged, systems began representing user goals as function names with typed arguments—the LLM decides whether to call a function (intent), which function, and fills JSON arguments (slots), with a growing literature on evaluating and improving this structured function‑calling behavior.</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Intent Classification and Slot Tagging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Traditional IC+slot pipelines were known to mirror downstream API calls but were tightly coupled to bespoke classifiers; function‑calling reframed the problem by treating intent classification as tool selection and slot tagging as argument extraction in a single structured output step, foreshadowing the current mainstream where “intent+slots” are just the function schema that LLMs must fill.</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