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7020"/>
        <w:tblGridChange w:id="0">
          <w:tblGrid>
            <w:gridCol w:w="2025"/>
            <w:gridCol w:w="70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High‑stakes exam‑style multiple‑choice benchmarks for general LLM capabilities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2023 exam benchmarks like AGIEval curated real standardized test questions (SAT, GRE, Gaokao, law exams, math contests), filtered out subjective items, and kept only objectively gradable multiple‑choice and fill‑in‑the‑blank questions, scored via accuracy / exact‑match.</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Closed-ended Evaluations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already knew we needed transparent, reproducible tests rather than ad‑hoc prompts, but how to do this at scale was unclear; these exam‑style MCQ suites offered a concrete recipe: reuse human high‑stakes exams, keep only objectively scorable questions, and evaluate via simple closed‑form metrics, which set the pattern for today’s closed-ended “general capability” leaderboards.</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30"/>
        <w:tblGridChange w:id="0">
          <w:tblGrid>
            <w:gridCol w:w="2115"/>
            <w:gridCol w:w="69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Expert‑written, Google‑proof science MCQ benchmarks for deep reasoning</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GPQA introduced graduate‑level, domain‑expert‑written multiple‑choice questions in physics, chemistry, and biology, designed to be “Google‑proof” and extremely hard, with a Diamond subset that is carefully validated and remains challenging even for human PhDs.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Closed-ended Evaluations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 contamination and “too‑easy” MCQs were already recognized problems; the GPQA direction showed a solution: closed‑ended, expert‑crafted items with adversarial difficulty and strong validation, which became a template for modern closed-ended evals that aim to really stress frontier models rather than just measure surface recall.</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7185"/>
        <w:tblGridChange w:id="0">
          <w:tblGrid>
            <w:gridCol w:w="1860"/>
            <w:gridCol w:w="71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Model‑behaviour‑derived multiple‑choice conversions of open‑ended math and coding tasks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like GSM‑MC / MATH‑MC / PythonIO took open‑ended benchmarks (GSM8K, MATH, HumanEval/MBPP), collected correct answers and typical incorrect predictions from 50–60 open‑source models, and turned each question into a multiple‑choice item where distractors are real model mistakes; they showed MC scores correlate tightly with the original tasks while being up to ~30× faster to evaluate.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Closed-ended Evaluations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already knew that evaluating free‑form math/code answers with regexes and special‑case logic was slow and brittle; this line offered a concrete fix: systematically convert open benchmarks into closed‑ended MCQs using model‑induced distractors, preserving difficulty and ranking fidelity while making closed-ended evaluation cheap and robust enough to become standard.</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900"/>
        <w:tblGridChange w:id="0">
          <w:tblGrid>
            <w:gridCol w:w="2145"/>
            <w:gridCol w:w="69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Adversarial short‑answer factuality benchmarks with single indisputable gold answers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SimpleQA‑style work built short, fact‑seeking QA benchmarks where each question is adversarially collected against strong models (e.g., GPT‑4) and crafted so there is exactly one unambiguous correct answer, allowing responses to be graded as </w:t>
            </w:r>
            <w:r w:rsidDel="00000000" w:rsidR="00000000" w:rsidRPr="00000000">
              <w:rPr>
                <w:rFonts w:ascii="Times New Roman" w:cs="Times New Roman" w:eastAsia="Times New Roman" w:hAnsi="Times New Roman"/>
                <w:i w:val="1"/>
                <w:iCs w:val="1"/>
                <w:sz w:val="24"/>
                <w:szCs w:val="24"/>
                <w:rtl w:val="0"/>
              </w:rPr>
              <w:t xml:space="preserve">correct / incorrect / not attempted</w:t>
            </w:r>
            <w:r w:rsidDel="00000000" w:rsidR="00000000" w:rsidRPr="00000000">
              <w:rPr>
                <w:rFonts w:ascii="Times New Roman" w:cs="Times New Roman" w:eastAsia="Times New Roman" w:hAnsi="Times New Roman"/>
                <w:sz w:val="24"/>
                <w:szCs w:val="24"/>
                <w:rtl w:val="0"/>
              </w:rPr>
              <w:t xml:space="preserve"> with minimal subjectivity.</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Closed-ended Evaluations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need for reliable factuality evals was widely recognized, but many QA tasks had fuzzy or multi‑valid answers; this direction proposed a solution: design questions explicitly for binary-ish grading, so that even free‑form outputs can be evaluated with closed‑ended labels, foreshadowing today’s factuality and calibration evals built around “one true answer” short‑form questions.</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005"/>
        <w:tblGridChange w:id="0">
          <w:tblGrid>
            <w:gridCol w:w="2040"/>
            <w:gridCol w:w="70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Unified short‑answer grading benchmarks that turn rich responses into discrete scores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ASAG2024 combined seven existing short‑answer grading datasets into a common schema and grading scale, then evaluated classical SAG models and LLM‑based graders on automatically scoring open‑ended student answers, effectively framing diverse responses as prediction of a small discrete grade label.</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Closed-ended Evaluations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pain point—open‑ended exam questions are hard and expensive to grade consistently—was long‑known; this benchmark direction crystallized a solution pattern: treat rich natural‑language answers as inputs to an automated grader that outputs a closed set of scores, pushing closed-ended evaluation ideas (discrete labels, accuracy, correlation) into domains that previously relied on messy rubric‑based human marking.</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035"/>
        <w:tblGridChange w:id="0">
          <w:tblGrid>
            <w:gridCol w:w="2010"/>
            <w:gridCol w:w="70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Reformulating multiple‑choice evaluation formats and prompts for non‑English LLMs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Italian study on closed‑ended evaluation examined how standard MC setups (log‑likelihood over option identifiers, e.g., just predicting “B”) behave for Italian‑adapted LLMs, and proposed alternative closed‑ended formats where models must generate the full option text (CE‑NI) or answer open‑endedly, scored with reference‑based metrics (BLEU, ROUGE‑L, BERTScore) across various prompt templates and few‑shot settings.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Closed-ended Evaluations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weakness of “pick an option ID” evals—especially for non‑English models that may never generate long target text—was already suspected; this work provided a concrete solution path: treat closed‑ended tasks as structured generation with objective matching against option text, inspiring today’s practice of carefully designing closed-ended formats and prompt schemas (rather than raw option IDs) when building multilingual, closed-form LLM evaluations.</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