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455"/>
        <w:tblGridChange w:id="0">
          <w:tblGrid>
            <w:gridCol w:w="1590"/>
            <w:gridCol w:w="74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Ultra-small, highly curated instruction sets as full alignment surrogates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LIMA showed that fine‑tuning a 65B LLaMA model on only ~1,000 carefully curated prompt–response pairs can yield outputs competitive with much larger RLHF‑trained systems, suggesting most knowledge is in pretraining and alignment needs only tiny, high‑quality supervision. Studies such as LIMIT further found that subsets of just 1k–6k “in‑domain” instructions can match or approach performance of models tuned on tens of thousands of examples across both benchmark and model-based evals.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explicitly solved the long‑standing assumption that instruction tuning </w:t>
            </w:r>
            <w:r w:rsidDel="00000000" w:rsidR="00000000" w:rsidRPr="00000000">
              <w:rPr>
                <w:rFonts w:ascii="Times New Roman" w:cs="Times New Roman" w:eastAsia="Times New Roman" w:hAnsi="Times New Roman"/>
                <w:i w:val="1"/>
                <w:iCs w:val="1"/>
                <w:sz w:val="24"/>
                <w:szCs w:val="24"/>
                <w:rtl w:val="0"/>
              </w:rPr>
              <w:t xml:space="preserve">requires</w:t>
            </w:r>
            <w:r w:rsidDel="00000000" w:rsidR="00000000" w:rsidRPr="00000000">
              <w:rPr>
                <w:rFonts w:ascii="Times New Roman" w:cs="Times New Roman" w:eastAsia="Times New Roman" w:hAnsi="Times New Roman"/>
                <w:sz w:val="24"/>
                <w:szCs w:val="24"/>
                <w:rtl w:val="0"/>
              </w:rPr>
              <w:t xml:space="preserve"> huge datasets by demonstrating that a tiny, well‑chosen instruction set can be enough, which is exactly the core promise of Low-resource Instruction Tuning. These results reframed the research goal from “get more data” to “extract maximum alignment from a few hundred–thousand elite examples.”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395"/>
        <w:tblGridChange w:id="0">
          <w:tblGrid>
            <w:gridCol w:w="1650"/>
            <w:gridCol w:w="73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Self-guided and automatic cherry-picking of a small but “elite” instruction subset</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Self-guided data-selection methods introduced an Instruction-Following Difficulty (IFD) score: an LLM estimates how hard each example is and keeps only the most informative 5–10% of data, yet still </w:t>
            </w:r>
            <w:r w:rsidDel="00000000" w:rsidR="00000000" w:rsidRPr="00000000">
              <w:rPr>
                <w:rFonts w:ascii="Times New Roman" w:cs="Times New Roman" w:eastAsia="Times New Roman" w:hAnsi="Times New Roman"/>
                <w:i w:val="1"/>
                <w:iCs w:val="1"/>
                <w:sz w:val="24"/>
                <w:szCs w:val="24"/>
                <w:rtl w:val="0"/>
              </w:rPr>
              <w:t xml:space="preserve">improves</w:t>
            </w:r>
            <w:r w:rsidDel="00000000" w:rsidR="00000000" w:rsidRPr="00000000">
              <w:rPr>
                <w:rFonts w:ascii="Times New Roman" w:cs="Times New Roman" w:eastAsia="Times New Roman" w:hAnsi="Times New Roman"/>
                <w:sz w:val="24"/>
                <w:szCs w:val="24"/>
                <w:rtl w:val="0"/>
              </w:rPr>
              <w:t xml:space="preserve"> over training on the full Alpaca/WizardLM corpora. The DEITA line then quantified data along complexity, quality, and diversity, selecting ~6k SFT samples and ~10k preference examples to match or beat SOTA open chat models that used 10× more alignment data.</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offered a concrete algorithmic solution to the problem “how do we align a model when we can’t afford a giant instruction dataset?”, by turning dataset design into an automatic selection problem under a strict budget. This directly anticipates Low-resource Instruction Tuning as: “given a fixed, small data budget, choose the few thousand instructions that do the most alignment work.”</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Noise-regularized instruction finetuning to stabilize learning from tiny, quirky datasets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NEFTune showed that injecting simple noise into token embeddings during instruction tuning can dramatically improve performance when training on small alignment datasets like Alpaca or Evol‑Instruct, e.g., boosting AlpacaEval win rate for LLaMA‑2‑7B from ~30% to ~65% with the </w:t>
            </w:r>
            <w:r w:rsidDel="00000000" w:rsidR="00000000" w:rsidRPr="00000000">
              <w:rPr>
                <w:rFonts w:ascii="Times New Roman" w:cs="Times New Roman" w:eastAsia="Times New Roman" w:hAnsi="Times New Roman"/>
                <w:i w:val="1"/>
                <w:iCs w:val="1"/>
                <w:sz w:val="24"/>
                <w:szCs w:val="24"/>
                <w:rtl w:val="0"/>
              </w:rPr>
              <w:t xml:space="preserve">same</w:t>
            </w:r>
            <w:r w:rsidDel="00000000" w:rsidR="00000000" w:rsidRPr="00000000">
              <w:rPr>
                <w:rFonts w:ascii="Times New Roman" w:cs="Times New Roman" w:eastAsia="Times New Roman" w:hAnsi="Times New Roman"/>
                <w:sz w:val="24"/>
                <w:szCs w:val="24"/>
                <w:rtl w:val="0"/>
              </w:rPr>
              <w:t xml:space="preserve"> data.</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method acts as a lightweight regularizer/augmentation that helps models generalize beyond the idiosyncrasies of limited instruction corpora.</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Low-resource Instruction Tuning is bottlenecked not only by data </w:t>
            </w:r>
            <w:r w:rsidDel="00000000" w:rsidR="00000000" w:rsidRPr="00000000">
              <w:rPr>
                <w:rFonts w:ascii="Times New Roman" w:cs="Times New Roman" w:eastAsia="Times New Roman" w:hAnsi="Times New Roman"/>
                <w:i w:val="1"/>
                <w:i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but also by overfitting to weird, small datasets; NEFTune directly attacks that failure mode with a simple training-time trick. It quietly established that with the right regularization, low-data instruction tuning is not just possible but sometimes </w:t>
            </w:r>
            <w:r w:rsidDel="00000000" w:rsidR="00000000" w:rsidRPr="00000000">
              <w:rPr>
                <w:rFonts w:ascii="Times New Roman" w:cs="Times New Roman" w:eastAsia="Times New Roman" w:hAnsi="Times New Roman"/>
                <w:i w:val="1"/>
                <w:iCs w:val="1"/>
                <w:sz w:val="24"/>
                <w:szCs w:val="24"/>
                <w:rtl w:val="0"/>
              </w:rPr>
              <w:t xml:space="preserve">better</w:t>
            </w:r>
            <w:r w:rsidDel="00000000" w:rsidR="00000000" w:rsidRPr="00000000">
              <w:rPr>
                <w:rFonts w:ascii="Times New Roman" w:cs="Times New Roman" w:eastAsia="Times New Roman" w:hAnsi="Times New Roman"/>
                <w:sz w:val="24"/>
                <w:szCs w:val="24"/>
                <w:rtl w:val="0"/>
              </w:rPr>
              <w:t xml:space="preserve"> than vanilla tuning on the same small corpus.</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440"/>
        <w:tblGridChange w:id="0">
          <w:tblGrid>
            <w:gridCol w:w="1605"/>
            <w:gridCol w:w="74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and self-instruction generation from a few seeds and unlabeled corpora</w:t>
            </w:r>
          </w:p>
        </w:tc>
      </w:tr>
      <w:tr>
        <w:trPr>
          <w:cantSplit w:val="0"/>
          <w:trHeight w:val="312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“Reverse instruction” work showed that from just a handful of input–output examples for a task, a model can be trained to </w:t>
            </w:r>
            <w:r w:rsidDel="00000000" w:rsidR="00000000" w:rsidRPr="00000000">
              <w:rPr>
                <w:rFonts w:ascii="Times New Roman" w:cs="Times New Roman" w:eastAsia="Times New Roman" w:hAnsi="Times New Roman"/>
                <w:i w:val="1"/>
                <w:iCs w:val="1"/>
                <w:sz w:val="24"/>
                <w:szCs w:val="24"/>
                <w:rtl w:val="0"/>
              </w:rPr>
              <w:t xml:space="preserve">write</w:t>
            </w:r>
            <w:r w:rsidDel="00000000" w:rsidR="00000000" w:rsidRPr="00000000">
              <w:rPr>
                <w:rFonts w:ascii="Times New Roman" w:cs="Times New Roman" w:eastAsia="Times New Roman" w:hAnsi="Times New Roman"/>
                <w:sz w:val="24"/>
                <w:szCs w:val="24"/>
                <w:rtl w:val="0"/>
              </w:rPr>
              <w:t xml:space="preserve"> natural-language task instructions, turning few-shot demonstrations into reusable instruction formats.</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parallel, Self-Instruct-style pipelines used a small pool of seed instructions to prompt a strong LLM to generate tens of thousands of new instruction–response pairs, achieving strong instruction-following ability with minimal human-written data.</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2024 systems like REInstruct extended this idea to unlabeled corpora, using small instruction generators/rewriters to convert raw domain text into instruction data at roughly seed-scale cost.</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pipelines offered a concrete recipe for “manufacturing” large instruction datasets from tiny human seeds and existing text, directly solving the known bottleneck of scarce labeled instructions. That generative data-bootstrapping idea underlies modern Low-resource Instruction Tuning, where you assume only a few human-written instructions and leverage models + corpora to synthesize the rest.</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65"/>
        <w:tblGridChange w:id="0">
          <w:tblGrid>
            <w:gridCol w:w="1680"/>
            <w:gridCol w:w="7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Cross-lingual bootstrapping of instruction tuning for low-resource languages</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InstructAlign proposed continual cross-lingual instruction tuning: starting from a high-resource instruction-tuned model, it incrementally adapts to new low-resource languages with limited parallel data while explicitly preventing catastrophic forgetting of earlier languages.</w:t>
            </w:r>
            <w:hyperlink r:id="rId1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Follow-up work such as COMMIT used code-mixed multilingual instruction tuning to adapt English-centric LLMs to low-resource QA, while X‑Instruction and MURI devised translation + reverse-instruction pipelines to generate millions of instruction–output pairs in 200+ languages without native annotators.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every low-resource language as needing its own large supervised corpus, these methods showed that we can </w:t>
            </w:r>
            <w:r w:rsidDel="00000000" w:rsidR="00000000" w:rsidRPr="00000000">
              <w:rPr>
                <w:rFonts w:ascii="Times New Roman" w:cs="Times New Roman" w:eastAsia="Times New Roman" w:hAnsi="Times New Roman"/>
                <w:i w:val="1"/>
                <w:iCs w:val="1"/>
                <w:sz w:val="24"/>
                <w:szCs w:val="24"/>
                <w:rtl w:val="0"/>
              </w:rPr>
              <w:t xml:space="preserve">transfer</w:t>
            </w:r>
            <w:r w:rsidDel="00000000" w:rsidR="00000000" w:rsidRPr="00000000">
              <w:rPr>
                <w:rFonts w:ascii="Times New Roman" w:cs="Times New Roman" w:eastAsia="Times New Roman" w:hAnsi="Times New Roman"/>
                <w:sz w:val="24"/>
                <w:szCs w:val="24"/>
                <w:rtl w:val="0"/>
              </w:rPr>
              <w:t xml:space="preserve"> instruction-following ability from high-resource languages via alignment, translation, and code-mixing. That’s exactly the Low-resource Instruction Tuning mindset: reuse cross-lingual structure and cheap translation mechanisms to get instruction-tuned behavior where native data is scarce.</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410"/>
        <w:tblGridChange w:id="0">
          <w:tblGrid>
            <w:gridCol w:w="1635"/>
            <w:gridCol w:w="74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recycling and reflection-based augmentation of existing instruction corpora</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Reflection-Tuning introduced the idea of using a strong “teacher” LLM to critique and rewrite existing instruction–response pairs, effectively recycling low-quality synthetic datasets (e.g., Alpaca, WizardLM) into higher-quality versions without collecting new human labels. In 2024, Selective Reflection-Tuning added a student model that chooses which samples to reflect on, producing student-compatible recycled data and yielding much stronger 7B/13B models while still using only the original datasets as raw material.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methods directly answer the question “what if my only instruction data is small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messy?” by reusing it in smarter ways instead of gathering more. They seeded the now-common Low-resource Instruction Tuning practice of squeezing more value out of a fixed instruction pool via self-critique, rewriting, and selective re-training rather than scaling up data collection.</w:t>
            </w:r>
          </w:p>
        </w:tc>
      </w:tr>
    </w:tbl>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Instruction-aware loss functions that extract more supervision from each example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Modelling proposed training with a loss not just on the output text but also on the </w:t>
            </w:r>
            <w:r w:rsidDel="00000000" w:rsidR="00000000" w:rsidRPr="00000000">
              <w:rPr>
                <w:rFonts w:ascii="Times New Roman" w:cs="Times New Roman" w:eastAsia="Times New Roman" w:hAnsi="Times New Roman"/>
                <w:i w:val="1"/>
                <w:iCs w:val="1"/>
                <w:sz w:val="24"/>
                <w:szCs w:val="24"/>
                <w:rtl w:val="0"/>
              </w:rPr>
              <w:t xml:space="preserve">instruction/prompt</w:t>
            </w:r>
            <w:r w:rsidDel="00000000" w:rsidR="00000000" w:rsidRPr="00000000">
              <w:rPr>
                <w:rFonts w:ascii="Times New Roman" w:cs="Times New Roman" w:eastAsia="Times New Roman" w:hAnsi="Times New Roman"/>
                <w:sz w:val="24"/>
                <w:szCs w:val="24"/>
                <w:rtl w:val="0"/>
              </w:rPr>
              <w:t xml:space="preserve"> portion, encouraging the model to internalize patterns of how good instructions are phrased and structured, not only how answers look. This showed that the same dataset can provide richer supervision signals if the objective is redesigned to treat instructions themselves as learnable objects.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Low-resource Instruction Tuning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Low-resource Instruction Tuning is all about maximizing information per labeled example; instruction-aware losses are a direct solution that makes each instruction do more work. By turning instructions into training targets too, this line foreshadows a future where we achieve strong instruction-following behavior with very small datasets simply by rethinking how we use each example.</w:t>
            </w:r>
          </w:p>
        </w:tc>
      </w:tr>
    </w:tbl>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xiv.org/abs/2305.13627?utm_source=chatgpt.com" TargetMode="External"/><Relationship Id="rId9" Type="http://schemas.openxmlformats.org/officeDocument/2006/relationships/hyperlink" Target="https://aclanthology.org/2024.findings-acl.408.pdf?utm_source=chatgpt.com" TargetMode="External"/><Relationship Id="rId5" Type="http://schemas.openxmlformats.org/officeDocument/2006/relationships/styles" Target="styles.xml"/><Relationship Id="rId6" Type="http://schemas.openxmlformats.org/officeDocument/2006/relationships/hyperlink" Target="https://arxiv.org/abs/2310.05914?utm_source=chatgpt.com" TargetMode="External"/><Relationship Id="rId7" Type="http://schemas.openxmlformats.org/officeDocument/2006/relationships/hyperlink" Target="https://aclanthology.org/2023.acl-long.108.pdf?utm_source=chatgpt.com" TargetMode="External"/><Relationship Id="rId8" Type="http://schemas.openxmlformats.org/officeDocument/2006/relationships/hyperlink" Target="https://aclanthology.org/2023.acl-long.754.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