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PPO stabilization tricks tailored specifically for RLHF on large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like </w:t>
            </w:r>
            <w:r w:rsidDel="00000000" w:rsidR="00000000" w:rsidRPr="00000000">
              <w:rPr>
                <w:rFonts w:ascii="Times New Roman" w:cs="Times New Roman" w:eastAsia="Times New Roman" w:hAnsi="Times New Roman"/>
                <w:i w:val="1"/>
                <w:iCs w:val="1"/>
                <w:sz w:val="24"/>
                <w:szCs w:val="24"/>
                <w:rtl w:val="0"/>
              </w:rPr>
              <w:t xml:space="preserve">Secrets of RLHF in Large Language Models Part I: PPO</w:t>
            </w:r>
            <w:r w:rsidDel="00000000" w:rsidR="00000000" w:rsidRPr="00000000">
              <w:rPr>
                <w:rFonts w:ascii="Times New Roman" w:cs="Times New Roman" w:eastAsia="Times New Roman" w:hAnsi="Times New Roman"/>
                <w:sz w:val="24"/>
                <w:szCs w:val="24"/>
                <w:rtl w:val="0"/>
              </w:rPr>
              <w:t xml:space="preserve"> dissected the RLHF training loop and showed that seemingly “engineering” details—policy KL constraints, clipping schedules, and variants like PPO-max—are </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key to stable RLHF on big LMs, releasing detailed analyses and open-source PPO/RLHF code for others to build on.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was well known: RLHF training on LLMs was brittle, reward-hacky, and hard to reproduce at scale; this line of work introduced a concrete bag of PPO-oriented techniques that </w:t>
            </w:r>
            <w:r w:rsidDel="00000000" w:rsidR="00000000" w:rsidRPr="00000000">
              <w:rPr>
                <w:rFonts w:ascii="Times New Roman" w:cs="Times New Roman" w:eastAsia="Times New Roman" w:hAnsi="Times New Roman"/>
                <w:i w:val="1"/>
                <w:iCs w:val="1"/>
                <w:sz w:val="24"/>
                <w:szCs w:val="24"/>
                <w:rtl w:val="0"/>
              </w:rPr>
              <w:t xml:space="preserve">make RLHF actually work</w:t>
            </w:r>
            <w:r w:rsidDel="00000000" w:rsidR="00000000" w:rsidRPr="00000000">
              <w:rPr>
                <w:rFonts w:ascii="Times New Roman" w:cs="Times New Roman" w:eastAsia="Times New Roman" w:hAnsi="Times New Roman"/>
                <w:sz w:val="24"/>
                <w:szCs w:val="24"/>
                <w:rtl w:val="0"/>
              </w:rPr>
              <w:t xml:space="preserve"> in practice. By turning “how to do PPO for RLHF” into a research area, it quietly set the stage for the modern mainframe topic where RLHF is treated as a systematized, tunable method—not a mysterious black art.</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RLHF on pre-generated language-model trajectories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Papers such as </w:t>
            </w:r>
            <w:r w:rsidDel="00000000" w:rsidR="00000000" w:rsidRPr="00000000">
              <w:rPr>
                <w:rFonts w:ascii="Times New Roman" w:cs="Times New Roman" w:eastAsia="Times New Roman" w:hAnsi="Times New Roman"/>
                <w:i w:val="1"/>
                <w:iCs w:val="1"/>
                <w:sz w:val="24"/>
                <w:szCs w:val="24"/>
                <w:rtl w:val="0"/>
              </w:rPr>
              <w:t xml:space="preserve">Aligning Language Models with Offline Reinforcement Learning from Human Feedback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Leftover Lunch (A‑LoL)</w:t>
            </w:r>
            <w:r w:rsidDel="00000000" w:rsidR="00000000" w:rsidRPr="00000000">
              <w:rPr>
                <w:rFonts w:ascii="Times New Roman" w:cs="Times New Roman" w:eastAsia="Times New Roman" w:hAnsi="Times New Roman"/>
                <w:sz w:val="24"/>
                <w:szCs w:val="24"/>
                <w:rtl w:val="0"/>
              </w:rPr>
              <w:t xml:space="preserve"> proposed doing RLHF on fixed logs of prompts, candidate responses, and preference labels using offline RL algorithms (RWR, Decision Transformers, advantage-based offline policy gradients) instead of constantly sampling new rollouts with PPO.</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already knew RLHF was sample‑hungry and operationally painful; these works introduced the then-novel idea that you can treat RLHF as an offline RL on logs problem and reuse static data efficiently. That perspective now underlies a big slice of today’s RLHF mainframe, where “online PPO RLHF” and “offline RLHF / preference optimization on logs” are treated as two standard, interoperable regimes.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RLHF labels with AI feedback instead of human-only preference annotation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branded as RL from AI Feedback (RLAIF) showed that you can use a strong LLM as a preference labeler—training reward models or even computing rewards directly from an off‑the‑shelf model—so that policy RLHF achieves summarization and dialogue performance comparable to human-labeled RLHF, while side-stepping most of the human-label cost.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bottleneck “human feedback is expensive and slow” was obvious; the new method was to </w:t>
            </w:r>
            <w:r w:rsidDel="00000000" w:rsidR="00000000" w:rsidRPr="00000000">
              <w:rPr>
                <w:rFonts w:ascii="Times New Roman" w:cs="Times New Roman" w:eastAsia="Times New Roman" w:hAnsi="Times New Roman"/>
                <w:i w:val="1"/>
                <w:iCs w:val="1"/>
                <w:sz w:val="24"/>
                <w:szCs w:val="24"/>
                <w:rtl w:val="0"/>
              </w:rPr>
              <w:t xml:space="preserve">drop humans in favor of AI labelers</w:t>
            </w:r>
            <w:r w:rsidDel="00000000" w:rsidR="00000000" w:rsidRPr="00000000">
              <w:rPr>
                <w:rFonts w:ascii="Times New Roman" w:cs="Times New Roman" w:eastAsia="Times New Roman" w:hAnsi="Times New Roman"/>
                <w:sz w:val="24"/>
                <w:szCs w:val="24"/>
                <w:rtl w:val="0"/>
              </w:rPr>
              <w:t xml:space="preserve"> inside the same RLHF pipeline. That move foreshadowed today’s RLHF landscape where human feedback, AI feedback, and mixed human+AI preference data are all seen as variants under the RLHF umbrella rather than separate ideas.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automated pipelines for constructing large-scale preference datasets for RLHF</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Safer‑Instruct and related work proposed end‑to‑end pipelines that generate prompts, synthesize multiple candidate responses, and then have an expert model score or compare them, yielding safety- or capability-focused preference datasets </w:t>
            </w:r>
            <w:r w:rsidDel="00000000" w:rsidR="00000000" w:rsidRPr="00000000">
              <w:rPr>
                <w:rFonts w:ascii="Times New Roman" w:cs="Times New Roman" w:eastAsia="Times New Roman" w:hAnsi="Times New Roman"/>
                <w:i w:val="1"/>
                <w:iCs w:val="1"/>
                <w:sz w:val="24"/>
                <w:szCs w:val="24"/>
                <w:rtl w:val="0"/>
              </w:rPr>
              <w:t xml:space="preserve">with no human annotators at all</w:t>
            </w:r>
            <w:r w:rsidDel="00000000" w:rsidR="00000000" w:rsidRPr="00000000">
              <w:rPr>
                <w:rFonts w:ascii="Times New Roman" w:cs="Times New Roman" w:eastAsia="Times New Roman" w:hAnsi="Times New Roman"/>
                <w:sz w:val="24"/>
                <w:szCs w:val="24"/>
                <w:rtl w:val="0"/>
              </w:rPr>
              <w:t xml:space="preserve">—using techniques like reversed instruction tuning, instruction induction, model-based filtering, and expert LLM judging.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already existed, but its dependence on bespoke human preference datasets was a glaring scalability problem; these automated pipelines supplied a concrete way to manufacture preference data at scale for RLHF training. That idea evolved into today’s standard practice where RLHF workflows routinely mix human labels with fully synthetic preference datasets generated by instruction-induction and expert models.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Constrained and multi-objective RLHF to balance helpfulness, safety, and other values</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Safe RLHF introduced a constrained RLHF formulation that trains separate reward and cost models for helpfulness vs harmlessness and uses Lagrangian-style constrained optimization during policy RL, instead of collapsing everything into one scalar reward. In 2024, multi-objective reward modeling works like ArmoRM and MetaAligner extended this to multi-dimensional, interpretable reward models and multi-objective alignment schemes, treating honesty, verbosity, safety, etc. as separate axes combined via mixture-of-experts or meta-alignment.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Practitioners already knew a single scalar reward can’t capture all human values; these approaches supplied concrete RLHF-compatible machinery—constraints, multi-objective rewards, mixture-of-experts—to handle conflicting objectives. That’s now central to modern RLHF discussions, where multi-objective and safety-constrained RLHF are considered core variants rather than niche tweaks.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RLHF algorithms built directly around comparative/relative feedback rather than scalar rewards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Under the umbrella of “reinforcement learning with relative/comparative feedback,” methods like Pairwise Proximal Policy Optimization (P3O) re-designed the RL step so that it works directly on pairwise preference information, avoiding separate value critics and being invariant to reward scaling—better matching how RLHF reward models are actually trained (on comparisons).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pain point was that vanilla PPO was never designed for pairwise-preference rewards, making RLHF fragile and hard to tune; comparative-feedback RL algorithms gave a new, better-matched way to perform the RL step. This line of thinking paved the way for today’s RLHF mainframe where there’s an explicit design axis between “scalar-reward PPO” and “preference-native RLHF algorithms,” and where algorithm choice is considered a central design decision.</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reward modeling itself as a first-class research object within RLHF</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Secrets of RLHF in Large Language Models Part II: Reward Modeling</w:t>
            </w:r>
            <w:r w:rsidDel="00000000" w:rsidR="00000000" w:rsidRPr="00000000">
              <w:rPr>
                <w:rFonts w:ascii="Times New Roman" w:cs="Times New Roman" w:eastAsia="Times New Roman" w:hAnsi="Times New Roman"/>
                <w:sz w:val="24"/>
                <w:szCs w:val="24"/>
                <w:rtl w:val="0"/>
              </w:rPr>
              <w:t xml:space="preserve"> and follow-ups systematically analyzed how reward models generalize, overfit, and interact with policy optimization, released cleaned preference datasets, and introduced evaluation suites like RewardBench-style setups to benchmark reward models independently of the policy.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knew “the reward model matters,” but these works provided concrete tools and theory for </w:t>
            </w:r>
            <w:r w:rsidDel="00000000" w:rsidR="00000000" w:rsidRPr="00000000">
              <w:rPr>
                <w:rFonts w:ascii="Times New Roman" w:cs="Times New Roman" w:eastAsia="Times New Roman" w:hAnsi="Times New Roman"/>
                <w:i w:val="1"/>
                <w:iCs w:val="1"/>
                <w:sz w:val="24"/>
                <w:szCs w:val="24"/>
                <w:rtl w:val="0"/>
              </w:rPr>
              <w:t xml:space="preserve">reward modeling as its own discipline</w:t>
            </w:r>
            <w:r w:rsidDel="00000000" w:rsidR="00000000" w:rsidRPr="00000000">
              <w:rPr>
                <w:rFonts w:ascii="Times New Roman" w:cs="Times New Roman" w:eastAsia="Times New Roman" w:hAnsi="Times New Roman"/>
                <w:sz w:val="24"/>
                <w:szCs w:val="24"/>
                <w:rtl w:val="0"/>
              </w:rPr>
              <w:t xml:space="preserve">—with scaling laws, diagnostics, and dedicated benchmarks. That shift is now baked into the RLHF mainframe topic, where policy RL, reward modeling, data collection, and evaluation are treated as equally important moving parts, not just a monolithic PPO step.</w:t>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