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Closed-form reverse‑KL preference objectives replacing PPO in RLHF</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work such as Direct Preference Optimization reparameterized the usual KL‑constrained RLHF objective so that the optimal preference‑aligned policy can be written in closed form as a log‑ratio between the policy and a reference model, turning the RLHF policy gradient objective into a simple supervised loss over preferred vs dispreferred continuations.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directly attacked the well‑known instability and engineering burden of PPO‑based RLHF by changing the </w:t>
            </w:r>
            <w:r w:rsidDel="00000000" w:rsidR="00000000" w:rsidRPr="00000000">
              <w:rPr>
                <w:rFonts w:ascii="Times New Roman" w:cs="Times New Roman" w:eastAsia="Times New Roman" w:hAnsi="Times New Roman"/>
                <w:i w:val="1"/>
                <w:iCs w:val="1"/>
                <w:sz w:val="24"/>
                <w:szCs w:val="24"/>
                <w:rtl w:val="0"/>
              </w:rPr>
              <w:t xml:space="preserve">objective itself</w:t>
            </w:r>
            <w:r w:rsidDel="00000000" w:rsidR="00000000" w:rsidRPr="00000000">
              <w:rPr>
                <w:rFonts w:ascii="Times New Roman" w:cs="Times New Roman" w:eastAsia="Times New Roman" w:hAnsi="Times New Roman"/>
                <w:sz w:val="24"/>
                <w:szCs w:val="24"/>
                <w:rtl w:val="0"/>
              </w:rPr>
              <w:t xml:space="preserve">—showing that a reverse‑KL log‑ratio objective can recover RLHF behavior without explicit RL. This shift from “which RL algorithm?” to “which closed-form policy gradient objective?” was an early pointer toward treating the Policy Gradient Objective as the main design lever.</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f‑divergence families of alignment objectives for policy gradients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f‑DPG line of work framed aligning language models with preferences as approximating a target distribution by minimizing a general f‑divergence via a distributional policy gradient, unifying RLHF (reverse KL) and earlier distributional control methods (forward KL) in a single gradient framework and exploring choices like TV and Jensen–Shannon divergences.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tackled the long‑recognized but vague question “why this KL, and not another?” by making the divergence—and therefore the </w:t>
            </w:r>
            <w:r w:rsidDel="00000000" w:rsidR="00000000" w:rsidRPr="00000000">
              <w:rPr>
                <w:rFonts w:ascii="Times New Roman" w:cs="Times New Roman" w:eastAsia="Times New Roman" w:hAnsi="Times New Roman"/>
                <w:i w:val="1"/>
                <w:iCs w:val="1"/>
                <w:sz w:val="24"/>
                <w:szCs w:val="24"/>
                <w:rtl w:val="0"/>
              </w:rPr>
              <w:t xml:space="preserve">policy gradient objective</w:t>
            </w:r>
            <w:r w:rsidDel="00000000" w:rsidR="00000000" w:rsidRPr="00000000">
              <w:rPr>
                <w:rFonts w:ascii="Times New Roman" w:cs="Times New Roman" w:eastAsia="Times New Roman" w:hAnsi="Times New Roman"/>
                <w:sz w:val="24"/>
                <w:szCs w:val="24"/>
                <w:rtl w:val="0"/>
              </w:rPr>
              <w:t xml:space="preserve">—a tunable design choice that trades off alignment, diversity, and calibration. This explicitly framed objective design (via f‑divergences) as the core problem, anticipating today’s mainframe view of Policy Gradient Objectives as a structured family rather than a fixed RLHF formula.</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Prospect‑theoretic gain/loss weighting in alignment objectives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Kahneman–Tversky Optimization (KTO) recast preference alignment as optimizing a prospect‑theory‑style value function, where desirable and undesirable outputs get asymmetric weights and a logistic-shaped utility around a reference point, enabling alignment from simple “good/bad” labels instead of full pairwise preferences.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challenge of using coarse one‑bit feedback efficiently was already known; KTO’s novelty was to encode human loss aversion directly into the </w:t>
            </w:r>
            <w:r w:rsidDel="00000000" w:rsidR="00000000" w:rsidRPr="00000000">
              <w:rPr>
                <w:rFonts w:ascii="Times New Roman" w:cs="Times New Roman" w:eastAsia="Times New Roman" w:hAnsi="Times New Roman"/>
                <w:i w:val="1"/>
                <w:i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changing how gains and losses contribute to the policy gradient. That move—baking psychological weighting into the Policy Gradient Objective rather than the reward model—prefigured the broader focus on shaping the objective’s geometry (not just its scalar rewards) in later policy‑gradient design.</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Odds‑ratio preference gradients fused into supervised fine‑tuning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ORPO introduced a monolithic objective that augments the standard negative log‑likelihood with an odds‑ratio penalty contrasting preferred and rejected responses, learning from pairwise preference data without a separate RL stage or explicit reference model while still driving the policy toward chosen outputs.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It addressed the familiar complexity of multi‑stage SFT→RLHF pipelines by embedding preference gradients </w:t>
            </w:r>
            <w:r w:rsidDel="00000000" w:rsidR="00000000" w:rsidRPr="00000000">
              <w:rPr>
                <w:rFonts w:ascii="Times New Roman" w:cs="Times New Roman" w:eastAsia="Times New Roman" w:hAnsi="Times New Roman"/>
                <w:i w:val="1"/>
                <w:iCs w:val="1"/>
                <w:sz w:val="24"/>
                <w:szCs w:val="24"/>
                <w:rtl w:val="0"/>
              </w:rPr>
              <w:t xml:space="preserve">directly</w:t>
            </w:r>
            <w:r w:rsidDel="00000000" w:rsidR="00000000" w:rsidRPr="00000000">
              <w:rPr>
                <w:rFonts w:ascii="Times New Roman" w:cs="Times New Roman" w:eastAsia="Times New Roman" w:hAnsi="Times New Roman"/>
                <w:sz w:val="24"/>
                <w:szCs w:val="24"/>
                <w:rtl w:val="0"/>
              </w:rPr>
              <w:t xml:space="preserve"> in a modified cross‑entropy loss, effectively redefining the Policy Gradient Objective so that alignment happens inside supervised training. This showed that one could redesign the algebra of the objective—using odds ratios and penalties—to obtain RL‑like policy gradients without traditional RL, sharpening attention on objective engineering as its own design space.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REINFORCE‑style RLHF objectives tailored to the LLM regime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“Back to Basics” work revisited RLHF and demonstrated that simple REINFORCE‑style policy gradients with KL regularization—dropping many of PPO’s clipping and critic components—can match or outperform PPO and some “RL‑free” methods when aligning pretrained LLMs to human feedback.</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Policy Gradient Objective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Instead of proposing yet another algorithm, this line argued that the </w:t>
            </w:r>
            <w:r w:rsidDel="00000000" w:rsidR="00000000" w:rsidRPr="00000000">
              <w:rPr>
                <w:rFonts w:ascii="Times New Roman" w:cs="Times New Roman" w:eastAsia="Times New Roman" w:hAnsi="Times New Roman"/>
                <w:i w:val="1"/>
                <w:iCs w:val="1"/>
                <w:sz w:val="24"/>
                <w:szCs w:val="24"/>
                <w:rtl w:val="0"/>
              </w:rPr>
              <w:t xml:space="preserve">canonical PPO surrogate loss</w:t>
            </w:r>
            <w:r w:rsidDel="00000000" w:rsidR="00000000" w:rsidRPr="00000000">
              <w:rPr>
                <w:rFonts w:ascii="Times New Roman" w:cs="Times New Roman" w:eastAsia="Times New Roman" w:hAnsi="Times New Roman"/>
                <w:sz w:val="24"/>
                <w:szCs w:val="24"/>
                <w:rtl w:val="0"/>
              </w:rPr>
              <w:t xml:space="preserve"> is unnecessarily complex for LLM alignment and that simpler REINFORCE objectives give better trade‑offs when chosen carefully. By explicitly framing alignment as “which Policy Gradient Objective fits this regime?”, it helped crystallize today’s mainframe focus on objective design (REINFORCE‑style, DPO‑style, prospect‑theoretic, etc.) as the central knob in preference‑based training.</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