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Date: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04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.12.2020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Gender: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Female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0"/>
          <w:i w:val="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Age: 199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Weight: 63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Order of emotional film clips: T-F-S-A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Order of cognitive distraction tasks:  S-G-M-A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0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Comments: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b-N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iA+lP7IdEA1pNKlQZXag5e++g==">AMUW2mVeZYkSs3Y1khElH3WPs8RVrpbD6YLl+5PDqYQrawUUuKNIqaHYk24ZQFTY0uG9UfIwRKY8r4PcrfkCM40qf6yAlNpb+HA1eVLDgNftfoma4lx2nlM=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2020-11-24T18:38:29.6180509Z</dcterms:created>
  <dc:creator>Rebekka Brøyn</dc:creator>
</cp:coreProperties>
</file>