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13b14"/>
          <w:spacing w:val="60"/>
          <w:sz w:val="48"/>
          <w:szCs w:val="48"/>
        </w:rPr>
        <w:t xml:space="preserve">AZALEA ESTATES OF FAYETTEVILLE</w:t>
      </w:r>
    </w:p>
    <w:p>
      <w:pPr>
        <w:spacing w:after="400"/>
        <w:jc w:val="center"/>
      </w:pPr>
      <w:r>
        <w:rPr>
          <w:rFonts w:ascii="Arial" w:cs="Arial" w:eastAsia="Arial" w:hAnsi="Arial"/>
          <w:color w:val="8a3a52"/>
          <w:sz w:val="32"/>
          <w:szCs w:val="32"/>
        </w:rPr>
        <w:t xml:space="preserve">Website Development Handoff</w:t>
      </w:r>
    </w:p>
    <w:p>
      <w:pPr>
        <w:pBdr>
          <w:top w:val="single" w:color="8a3a52" w:sz="8" w:space="1"/>
          <w:bottom w:val="single" w:color="8a3a52" w:sz="8" w:space="1"/>
        </w:pBdr>
        <w:spacing w:after="40" w:before="40"/>
        <w:jc w:val="center"/>
      </w:pP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spacing w:after="0" w:before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2a2623"/>
          <w:sz w:val="22"/>
          <w:szCs w:val="22"/>
        </w:rPr>
        <w:t xml:space="preserve">Prepared by Rebellion Group</w:t>
      </w:r>
    </w:p>
    <w:p>
      <w:pPr>
        <w:spacing w:after="80"/>
        <w:jc w:val="center"/>
      </w:pPr>
      <w:r>
        <w:rPr>
          <w:rFonts w:ascii="Arial" w:cs="Arial" w:eastAsia="Arial" w:hAnsi="Arial"/>
          <w:color w:val="2a2623"/>
          <w:sz w:val="22"/>
          <w:szCs w:val="22"/>
        </w:rPr>
        <w:t xml:space="preserve">May 2026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3b1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Production URL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azaleaestatesfayetteville.com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3a5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Repository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autumnglen-az (Seek)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3b14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Azalea Estates of Fayetteville is a premier assisted living and retirement community located in Fayetteville, Georgia. This document covers the complete technical handoff for the marketing website built on Eleventy (11ty) v2 and deployed to Netlify.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1.1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Static site generator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Eleventy (11ty) v2.0.1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Templating language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Nunjucks (.njk)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CSS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Single compiled stylesheet — src/assets/css/styles.css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JavaScript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Vanilla ES5 IIFE — src/assets/js/main.js + pdf-viewer.js (lazy)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Hosting / CI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Netlify — auto-deploy on git push to main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Forms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Netlify Forms (data-netlify attribute)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Marketing automation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ActiveDemand (UTM attribution capture)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Analytics / Tag Manager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Google Tag Manager — injected only after cookie consent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Node version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22 (set in netlify.toml)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1.2  Build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Start local dev server at localhost:8888 with live reload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Production build to _site/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npm test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Run 28 build-time form integrity tests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npm run ci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Build + test (used by Netlify — fails deploy on test failure)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3b14"/>
          <w:sz w:val="32"/>
          <w:szCs w:val="32"/>
        </w:rPr>
        <w:t xml:space="preserve">2. Site Map &amp; Page Inventory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All pages are Nunjucks templates under src/. Interior pages use layouts/page.njk; the home page uses layouts/base.njk directly.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src/index.njk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Home — split-panel hero + video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/about/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src/about.njk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Our Story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/team/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src/team.njk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Meet Our Team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/resident-centered-care/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src/resident-centered-care.njk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Philosophy page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/cost-calculator/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src/cost-calculator.njk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Interactive cost comparison tool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/living-options/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src/living-options.njk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Care overview hub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/living-options/independent-living/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src/independent-living.njk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/living-options/assisted-living/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src/assisted-living.njk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/living-options/respite-care/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src/respite-care.njk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/floor-plans/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src/floor-plans.njk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PDF viewer + inquiry modal form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/wellness/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src/wellness.njk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/dining/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src/dining.njk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/amenities/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src/amenities.njk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Services &amp; Amenities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/gallery/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src/gallery.njk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Photo gallery + lightbox + 360 virtual tour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/videos/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src/videos.njk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Video modal player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/calendar/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src/calendar.njk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Activity &amp; wellness calendars with download buttons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/careers/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src/careers.njk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Open positions listing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/contact/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src/contact.njk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Contact form + map + FAQ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/schedule-a-tour/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src/schedule-a-tour.njk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Tour request form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/sitemap/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src/sitemap-html.njk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HTML sitemap + contact form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/privacy/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src/privacy.njk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Privacy Policy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/accessibility/</w:t>
            </w:r>
          </w:p>
        </w:tc>
        <w:tc>
          <w:tcPr>
            <w:tcW w:type="dxa" w:w="3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src/accessibility.njk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Accessibility Statement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3b14"/>
          <w:sz w:val="32"/>
          <w:szCs w:val="32"/>
        </w:rPr>
        <w:t xml:space="preserve">3. Design System</w:t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3.1  Colour Palette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All colours are defined as CSS custom properties in styles.css :root.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3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--c-forest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#213b14</w:t>
            </w:r>
          </w:p>
        </w:tc>
        <w:tc>
          <w:tcPr>
            <w:tcW w:type="dxa" w:w="43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Primary brand green — nav, CTAs, hero panel, footer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--c-forest-hover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#1a2e10</w:t>
            </w:r>
          </w:p>
        </w:tc>
        <w:tc>
          <w:tcPr>
            <w:tcW w:type="dxa" w:w="43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Darker forest for hover states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--c-accent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#8a3a52</w:t>
            </w:r>
          </w:p>
        </w:tc>
        <w:tc>
          <w:tcPr>
            <w:tcW w:type="dxa" w:w="43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Rose-plum accent — stats bar, eyebrow on light bg, highlights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--c-gold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#8a6a3c</w:t>
            </w:r>
          </w:p>
        </w:tc>
        <w:tc>
          <w:tcPr>
            <w:tcW w:type="dxa" w:w="43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Warm gold — eyebrow label on dark backgrounds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--c-cream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#f5f0e8</w:t>
            </w:r>
          </w:p>
        </w:tc>
        <w:tc>
          <w:tcPr>
            <w:tcW w:type="dxa" w:w="43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Off-white cream — page background, button text on dark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--c-sand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#ece3d4</w:t>
            </w:r>
          </w:p>
        </w:tc>
        <w:tc>
          <w:tcPr>
            <w:tcW w:type="dxa" w:w="43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Warm sand — section alternating backgrounds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--c-ink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#2a2623</w:t>
            </w:r>
          </w:p>
        </w:tc>
        <w:tc>
          <w:tcPr>
            <w:tcW w:type="dxa" w:w="43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Near-black — body text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--c-ink-soft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#6b625a</w:t>
            </w:r>
          </w:p>
        </w:tc>
        <w:tc>
          <w:tcPr>
            <w:tcW w:type="dxa" w:w="43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Muted ink — captions, secondary text</w:t>
            </w:r>
          </w:p>
        </w:tc>
      </w:tr>
      <w:tr>
        <w:tc>
          <w:tcPr>
            <w:tcW w:type="dxa" w:w="2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--c-white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Pure white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3.2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3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--font-serif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3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Headings, hero H1, display text. Weights: 400, 500, 600, italic 400.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--font-sans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Inter</w:t>
            </w:r>
          </w:p>
        </w:tc>
        <w:tc>
          <w:tcPr>
            <w:tcW w:type="dxa" w:w="3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Body, navigation, buttons, labels. Weights: 400, 500, 600, 700.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Eyebrow</w:t>
            </w:r>
          </w:p>
        </w:tc>
        <w:tc>
          <w:tcPr>
            <w:tcW w:type="dxa" w:w="3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Inter 600</w:t>
            </w:r>
          </w:p>
        </w:tc>
        <w:tc>
          <w:tcPr>
            <w:tcW w:type="dxa" w:w="36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0.875rem / 14px, uppercase, 0.15em tracking. WCAG AA minimum size.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3.3  WCAG 2.0 AA Compliance — Hero Region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 full contrast audit was performed on the home page hero. All elements pass WCAG 2.0 AA: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Foreground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 / Result</w:t>
            </w:r>
          </w:p>
        </w:tc>
      </w:tr>
      <w:tr>
        <w:tc>
          <w:tcPr>
            <w:tcW w:type="dxa" w:w="28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Eyebrow (14px bold)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#f5f0e8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#213b14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11.48:1 ✓</w:t>
            </w:r>
          </w:p>
        </w:tc>
      </w:tr>
      <w:tr>
        <w:tc>
          <w:tcPr>
            <w:tcW w:type="dxa" w:w="28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H1 (64px)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#213b14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12.35:1 ✓</w:t>
            </w:r>
          </w:p>
        </w:tc>
      </w:tr>
      <w:tr>
        <w:tc>
          <w:tcPr>
            <w:tcW w:type="dxa" w:w="28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Lead paragraph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#f5f0e8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#213b14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11.48:1 ✓</w:t>
            </w:r>
          </w:p>
        </w:tc>
      </w:tr>
      <w:tr>
        <w:tc>
          <w:tcPr>
            <w:tcW w:type="dxa" w:w="28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Primary button text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#213b14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#f5f0e8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11.48:1 ✓</w:t>
            </w:r>
          </w:p>
        </w:tc>
      </w:tr>
      <w:tr>
        <w:tc>
          <w:tcPr>
            <w:tcW w:type="dxa" w:w="28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Outline button text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#213b14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12.35:1 ✓</w:t>
            </w:r>
          </w:p>
        </w:tc>
      </w:tr>
      <w:tr>
        <w:tc>
          <w:tcPr>
            <w:tcW w:type="dxa" w:w="28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Outline button border (non-text)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rgba(255,255,255,0.90)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#213b14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11:1 ✓ (needs 3:1)</w:t>
            </w:r>
          </w:p>
        </w:tc>
      </w:tr>
      <w:tr>
        <w:tc>
          <w:tcPr>
            <w:tcW w:type="dxa" w:w="28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Pause button text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composited forest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8.29:1 ✓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3b14"/>
          <w:sz w:val="32"/>
          <w:szCs w:val="32"/>
        </w:rPr>
        <w:t xml:space="preserve">4. Key Features Built</w:t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4.1  Home Page Hero — Split Panel Layout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The hero section uses a CSS Grid two-column layout: a solid forest-green left panel containing all copy and CTAs, and a full-bleed video panel on the right.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HTML structure: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src/index.njk — .hero &gt; .hero__panel + .hero__media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Grid columns: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2fr 3fr (40% text / 60% video at 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Diagonal seam: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.hero__panel::after pseudo-element bleeds 101px into video column with clip-path triangle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Video: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Hosted on DigitalOcean Spaces CDN — autoplay/muted/loop/playsinline. Pause/play toggle meets WCAG 2.2.2.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Mobile breakpoint: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≤860px — stacks vertically, panel top / video below. Diagonal disabled.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4.2  Cost Comparison Calculator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Interactive tool at /cost-calculator/ allowing families to compare the true cost of aging-in-place versus Azalea Estates monthly rates.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Care level dropdown toggles between Independent and Assisted Living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Assisted Living mode reveals a Personal Care section with a home-aide cost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National averages sourced from Genworth Cost of Care Survey 2024 (Georgia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'Use National Average' button auto-fills all fields with median market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Comparison bar chart updates live as values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National average constants computed from data-avg DOM attributes at runtime — single source of truth, no hardcoding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4.3  Attribution Capture (ActiveDemand Integration)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UTM parameters and session attribution are captured on first page load and injected as hidden fields into all lead forms before submission. This feeds ActiveDemand marketing automation.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Storage: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sessionStorage key ae_attribution (first-touch, not overwritten on subsequent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Tracked forms: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contact, schedule-tour, floor-plan-inquiry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Hidden fields injected: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cf_utm_source, cf_utm_medium, cf_utm_campaign, cf_utm_content, cf_utm_term, cf_landing_page, cf_referrer, cf_form_page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Cookie decline: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Attribution data is wiped from sessionStorage and all non-consent cookies are expired when the user clicks Decline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Code location: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Attribution IIFE at bottom of src/assets/js/main.js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4.4  Cookie Consent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 cookie consent banner is shown to new visitors. GTM is loaded only after the user accepts. Declining clears all non-consent cookies and the attribution sessionStorage key.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localStorage key: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ae_cookie_consent — values: 'accepted' or 'declined'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GTM: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Injected dynamically by JS on accept — container ID configured in main.js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Banner IDs: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#cookieBanner, #cookieAccept, #cookieDecline, #cookiePreferences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4.5  Form Integrity Tests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28 automated build-time tests (Node 22 built-in test runner) assert that all Netlify forms are correctly structured before each deploy. The Netlify build command runs npm run ci which is npm run build &amp;&amp; npm test — a failing test blocks the deploy.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Test file: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tests/forms.test.mjs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Test suites: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Contact Form, Schedule a Tour Form, Floor Plan Inquiry Form, Sitemap Contact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Each suite asserts: form exists, data-netlify='true', correct action URL, all required fields present, attribution hidden fields present, honeypot field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Netlify build command: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npm run ci (set in netlify.toml)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4.6  Activity Calendars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The /calendar/ page displays monthly activity and wellness PDFs with View (PDF viewer modal) and Download buttons.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Variables to update each month: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calMonth, calYear, calMonthYear at top of src/calendar.njk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PDF files: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Replace files in src/assets/pdfs/ — update href values in calendar.njk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a2623"/>
          <w:sz w:val="20"/>
          <w:szCs w:val="20"/>
        </w:rPr>
        <w:t xml:space="preserve">Month badge: </w:t>
      </w:r>
      <w:r>
        <w:rPr>
          <w:rFonts w:ascii="Arial" w:cs="Arial" w:eastAsia="Arial" w:hAnsi="Arial"/>
          <w:color w:val="2a2623"/>
          <w:sz w:val="20"/>
          <w:szCs w:val="20"/>
        </w:rPr>
        <w:t xml:space="preserve">Displayed automatically from calMonthYear variable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4.7  HTML Sitemap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 human-readable sitemap at /sitemap/ features a two-column layout: nested navigation list on the left and a contact form on the right. The footer links to this page (not the XML sitemap).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4.8  Gallery Lightbox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The photo gallery (/gallery/) uses a custom accessible lightbox. On mobile (≤640px), navigation arrows are positioned absolutely at the bottom of the viewport so the image fills the screen.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3b14"/>
          <w:sz w:val="32"/>
          <w:szCs w:val="32"/>
        </w:rPr>
        <w:t xml:space="preserve">5. Forms Reference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All forms use Netlify Forms. A static stub file (src/forms.html) is required so Netlify can detect all forms at build time, including those inside modals or conditionally rendered elements.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URL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213b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Attribution Fields</w:t>
            </w:r>
          </w:p>
        </w:tc>
      </w:tr>
      <w:tr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/contact/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/contact/thanks/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schedule-tour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/schedule-a-tour/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/schedule-a-tour/thanks/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floor-plan-inquiry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/floor-plans/ (modal)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/contact/thanks/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contact (sitemap)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/sitemap/</w:t>
            </w:r>
          </w:p>
        </w:tc>
        <w:tc>
          <w:tcPr>
            <w:tcW w:type="dxa" w:w="24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/contact/thanks/</w:t>
            </w:r>
          </w:p>
        </w:tc>
        <w:tc>
          <w:tcPr>
            <w:tcW w:type="dxa" w:w="25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8a3a52"/>
          <w:sz w:val="22"/>
          <w:szCs w:val="22"/>
        </w:rPr>
        <w:t xml:space="preserve">Netlify Forms Detection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Netlify scans the built HTML for data-netlify='true' at deploy time. Forms inside modals that are hidden via display:none or JavaScript may not be detected. The src/forms.html stub ensures all forms are always visible to the Netlify crawler.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Important: If you add a new form, add a corresponding stub to src/forms.html.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3b14"/>
          <w:sz w:val="32"/>
          <w:szCs w:val="32"/>
        </w:rPr>
        <w:t xml:space="preserve">6. Infrastructure &amp; Deployment</w:t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6.1  Netlify Configuration (netlify.toml)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Build command: npm run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Publish directory: _site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Node version: 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Security headers applied to all routes: X-Frame-Options SAMEORIGIN, X-Content-Type-Options nosniff, Referrer-Policy strict-origin-when-cross-origin, HSTS max-age=31536000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Long-cache headers (immutable) on /assets/*, *.css, *.js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HTML: Cache-Control: public, max-age=0, must-revalidate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404 catch-all redirect to /404.html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6.2  Environment Variables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No environment variables are required for the static build. GTM container ID is configured directly in src/assets/js/main.js.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6.3  CDN Assets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The hero background video is hosted on DigitalOcean Spaces: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4a3a6a"/>
          <w:sz w:val="18"/>
          <w:szCs w:val="18"/>
        </w:rPr>
        <w:t xml:space="preserve">https://seek-cdn.nyc3.cdn.digitaloceanspaces.com/azalea/video/SterlingAzaleaofFayettevilleTour.mp4</w:t>
      </w:r>
    </w:p>
    <w:p>
      <w:pPr>
        <w:spacing w:after="12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 DNS preconnect hint is emitted on the home page to reduce first-frame latency.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3b14"/>
          <w:sz w:val="32"/>
          <w:szCs w:val="32"/>
        </w:rPr>
        <w:t xml:space="preserve">7. Ongoing Maintenance Guide</w:t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7.1  Updating the Activity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Open src/calendar.njk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Update the three variables at the top of the file: calMonth, calYear, calMonthYear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Replace PDF files in src/assets/pdfs/ with the new month's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Update the href and download attributes on the View and Download buttons to point to the new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Commit and push — Netlify will deploy automatically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7.2  Adding a New Team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Open src/team.njk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Add a new card following the existing pattern — photo, name, title, bio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Add the photo to src/assets/images/team/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7.3  Adding a New Career Posting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Open src/careers.njk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Add a new position entry following the existing card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Each posting links to /careers/position/ with query parameters for the form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cdc4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a2623"/>
          <w:sz w:val="24"/>
          <w:szCs w:val="24"/>
        </w:rPr>
        <w:t xml:space="preserve">7.4  Adding a New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Create src/your-page.njk with layout: layouts/page.njk front matter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Add the page to the nav in src/_data/site.js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Add the page to src/sitemap-html.njk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If the page has a form, add it to src/forms.html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623"/>
          <w:sz w:val="20"/>
          <w:szCs w:val="20"/>
        </w:rPr>
        <w:t xml:space="preserve">If the form uses attribution, add the 8 hidden cf_ fields before the submit button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3b14"/>
          <w:sz w:val="32"/>
          <w:szCs w:val="32"/>
        </w:rPr>
        <w:t xml:space="preserve">8. Site Contact Information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Community name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Azalea Estates of Fayetteville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Address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105 Autumn Glen Circle, Fayetteville, GA 30215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770-461-0039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info@azaleaestatesfayetteville.com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Production URL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https://www.azaleaestatesfayetteville.com</w:t>
            </w:r>
          </w:p>
        </w:tc>
      </w:tr>
      <w:tr>
        <w:tc>
          <w:tcPr>
            <w:tcW w:type="dxa" w:w="220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623"/>
                <w:sz w:val="18"/>
                <w:szCs w:val="18"/>
              </w:rPr>
              <w:t xml:space="preserve">Facebook</w:t>
            </w:r>
          </w:p>
        </w:tc>
        <w:tc>
          <w:tcPr>
            <w:tcW w:type="dxa" w:w="7160"/>
            <w:tcBorders>
              <w:top w:val="single" w:color="d4cdc4" w:sz="1"/>
              <w:left w:val="single" w:color="d4cdc4" w:sz="1"/>
              <w:bottom w:val="single" w:color="d4cdc4" w:sz="1"/>
              <w:right w:val="single" w:color="d4cdc4" w:sz="1"/>
            </w:tcBorders>
            <w:shd w:fill="f0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623"/>
                <w:sz w:val="18"/>
                <w:szCs w:val="18"/>
              </w:rPr>
              <w:t xml:space="preserve">https://www.facebook.com/AzaleaEstatesAssistedLivingAndRetirementCommunity/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dc4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dc4" w:sz="4" w:space="4"/>
      </w:pBdr>
      <w:tabs>
        <w:tab w:val="right" w:pos="8640"/>
      </w:tabs>
    </w:pPr>
    <w:r>
      <w:rPr>
        <w:rFonts w:ascii="Arial" w:cs="Arial" w:eastAsia="Arial" w:hAnsi="Arial"/>
        <w:color w:val="888888"/>
        <w:sz w:val="16"/>
        <w:szCs w:val="16"/>
      </w:rPr>
      <w:t xml:space="preserve">Azalea Estates of Fayetteville  —  Website Handoff</w:t>
    </w:r>
    <w:r>
      <w:rPr>
        <w:rFonts w:ascii="Arial" w:cs="Arial" w:eastAsia="Arial" w:hAnsi="Arial"/>
        <w:color w:val="888888"/>
        <w:sz w:val="16"/>
        <w:szCs w:val="16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62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13b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a262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8a3a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2026-05-28T20:40:35.919Z</dcterms:created>
  <dcterms:modified xsi:type="dcterms:W3CDTF">2026-05-28T20:40:35.920Z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