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4A2E"/>
          <w:sz w:val="64"/>
          <w:szCs w:val="64"/>
        </w:rPr>
        <w:t xml:space="preserve">AZALEA ESTATES</w:t>
      </w:r>
    </w:p>
    <w:p>
      <w:pPr>
        <w:spacing w:after="60" w:before="0"/>
      </w:pPr>
      <w:r>
        <w:rPr>
          <w:rFonts w:ascii="Arial" w:cs="Arial" w:eastAsia="Arial" w:hAnsi="Arial"/>
          <w:b/>
          <w:bCs/>
          <w:color w:val="2E7D52"/>
          <w:sz w:val="44"/>
          <w:szCs w:val="44"/>
        </w:rPr>
        <w:t xml:space="preserve">Website Content Audit</w:t>
      </w:r>
    </w:p>
    <w:p>
      <w:pPr>
        <w:spacing w:after="60" w:before="0"/>
      </w:pPr>
      <w:r>
        <w:rPr>
          <w:rFonts w:ascii="Arial" w:cs="Arial" w:eastAsia="Arial" w:hAnsi="Arial"/>
          <w:color w:val="555555"/>
          <w:sz w:val="26"/>
          <w:szCs w:val="26"/>
        </w:rPr>
        <w:t xml:space="preserve">Current Site vs. Staging Site  —  Conflicts, Gaps &amp; Net New Content</w:t>
      </w:r>
    </w:p>
    <w:p>
      <w:pPr>
        <w:pBdr>
          <w:bottom w:val="single" w:color="2E7D52" w:sz="4" w:space="4"/>
        </w:pBdr>
        <w:spacing w:after="80" w:before="80"/>
      </w:pPr>
      <w:r>
        <w:t xml:space="preserve"/>
      </w:r>
    </w:p>
    <w:p>
      <w:pPr>
        <w:spacing w:after="60" w:before="60"/>
      </w:pPr>
      <w:r>
        <w:rPr>
          <w:rFonts w:ascii="Arial" w:cs="Arial" w:eastAsia="Arial" w:hAnsi="Arial"/>
          <w:b w:val="false"/>
          <w:bCs w:val="false"/>
          <w:i w:val="false"/>
          <w:iCs w:val="false"/>
          <w:color w:val="555555"/>
          <w:sz w:val="19"/>
          <w:szCs w:val="19"/>
        </w:rPr>
        <w:t xml:space="preserve">Current site: https://www.azaleaestatesfayetteville.com/</w:t>
      </w:r>
    </w:p>
    <w:p>
      <w:pPr>
        <w:spacing w:after="60" w:before="60"/>
      </w:pPr>
      <w:r>
        <w:rPr>
          <w:rFonts w:ascii="Arial" w:cs="Arial" w:eastAsia="Arial" w:hAnsi="Arial"/>
          <w:b w:val="false"/>
          <w:bCs w:val="false"/>
          <w:i w:val="false"/>
          <w:iCs w:val="false"/>
          <w:color w:val="555555"/>
          <w:sz w:val="19"/>
          <w:szCs w:val="19"/>
        </w:rPr>
        <w:t xml:space="preserve">Staging site:  https://autumglenaz.netlify.app/</w:t>
      </w:r>
    </w:p>
    <w:p>
      <w:pPr>
        <w:spacing w:after="60" w:before="60"/>
      </w:pPr>
      <w:r>
        <w:rPr>
          <w:rFonts w:ascii="Arial" w:cs="Arial" w:eastAsia="Arial" w:hAnsi="Arial"/>
          <w:b w:val="false"/>
          <w:bCs w:val="false"/>
          <w:i w:val="false"/>
          <w:iCs w:val="false"/>
          <w:color w:val="555555"/>
          <w:sz w:val="19"/>
          <w:szCs w:val="19"/>
        </w:rPr>
        <w:t xml:space="preserve">Audit date: May 19, 2026    |    Pages crawled: 12 (current)  ·  18 (staging)</w:t>
      </w:r>
    </w:p>
    <w:p>
      <w:pPr>
        <w:spacing w:after="100" w:before="100"/>
      </w:pPr>
      <w:r>
        <w:t xml:space="preserve"/>
      </w:r>
    </w:p>
    <w:p>
      <w:pPr>
        <w:pStyle w:val="Heading1"/>
      </w:pPr>
      <w:r>
        <w:rPr>
          <w:rFonts w:ascii="Arial" w:cs="Arial" w:eastAsia="Arial" w:hAnsi="Arial"/>
          <w:b/>
          <w:bCs/>
          <w:color w:val="1A4A2E"/>
          <w:sz w:val="36"/>
          <w:szCs w:val="36"/>
        </w:rPr>
        <w:t xml:space="preserve">Executive Summary</w:t>
      </w:r>
    </w:p>
    <w:p>
      <w:pPr>
        <w:spacing w:after="60" w:before="60"/>
      </w:pPr>
      <w:r>
        <w:rPr>
          <w:rFonts w:ascii="Arial" w:cs="Arial" w:eastAsia="Arial" w:hAnsi="Arial"/>
          <w:b w:val="false"/>
          <w:bCs w:val="false"/>
          <w:i w:val="false"/>
          <w:iCs w:val="false"/>
          <w:color w:val="555555"/>
          <w:sz w:val="21"/>
          <w:szCs w:val="21"/>
        </w:rPr>
        <w:t xml:space="preserve">This audit compares every page of the current Azalea Estates website with the staging site, identifying three categories of issues that need resolution before the staging site can go live.</w:t>
      </w:r>
    </w:p>
    <w:p>
      <w:pPr>
        <w:spacing w:after="100" w:before="1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040"/>
      </w:tblGrid>
      <w:tr>
        <w:tc>
          <w:tcPr>
            <w:tcW w:type="dxa" w:w="312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Count</w:t>
            </w:r>
          </w:p>
        </w:tc>
        <w:tc>
          <w:tcPr>
            <w:tcW w:type="dxa" w:w="304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Highest Priority</w:t>
            </w:r>
          </w:p>
        </w:tc>
      </w:tr>
      <w:tr>
        <w:tc>
          <w:tcPr>
            <w:tcW w:type="dxa" w:w="31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Conflicting Information</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8 items (3 HIGH, 3 MEDIUM, 2 LOW)</w:t>
            </w:r>
          </w:p>
        </w:tc>
        <w:tc>
          <w:tcPr>
            <w:tcW w:type="dxa" w:w="304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C-01: Wrong city (Marietta) on Floor Plans; C-08: Campus size 6 acres vs. 10 acres</w:t>
            </w:r>
          </w:p>
        </w:tc>
      </w:tr>
      <w:tr>
        <w:tc>
          <w:tcPr>
            <w:tcW w:type="dxa" w:w="31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Content Gaps (Missing from Staging)</w:t>
            </w:r>
          </w:p>
        </w:tc>
        <w:tc>
          <w:tcPr>
            <w:tcW w:type="dxa" w:w="31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8 items (3 HIGH, 4 MEDIUM, 1 LOW)</w:t>
            </w:r>
          </w:p>
        </w:tc>
        <w:tc>
          <w:tcPr>
            <w:tcW w:type="dxa" w:w="304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G-01: Videos not migrated; G-02: Team names unconfirmed; G-07: Calendar PDF</w:t>
            </w:r>
          </w:p>
        </w:tc>
      </w:tr>
      <w:tr>
        <w:tc>
          <w:tcPr>
            <w:tcW w:type="dxa" w:w="312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Net New on Staging (not on current)</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14 items</w:t>
            </w:r>
          </w:p>
        </w:tc>
        <w:tc>
          <w:tcPr>
            <w:tcW w:type="dxa" w:w="304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N-01 About, N-02 Respite, N-03 Licensing, N-08 Nursing detail — flag for final approval</w:t>
            </w:r>
          </w:p>
        </w:tc>
      </w:tr>
    </w:tbl>
    <w:p>
      <w:pPr>
        <w:spacing w:after="100" w:before="100"/>
      </w:pPr>
      <w:r>
        <w:t xml:space="preserve"/>
      </w:r>
    </w:p>
    <w:p>
      <w:pPr>
        <w:spacing w:after="60" w:before="60"/>
      </w:pPr>
      <w:r>
        <w:rPr>
          <w:rFonts w:ascii="Arial" w:cs="Arial" w:eastAsia="Arial" w:hAnsi="Arial"/>
          <w:b w:val="false"/>
          <w:bCs w:val="false"/>
          <w:i/>
          <w:iCs/>
          <w:color w:val="555555"/>
          <w:sz w:val="20"/>
          <w:szCs w:val="20"/>
        </w:rPr>
        <w:t xml:space="preserve">Items flagged HIGH require immediate correction. MEDIUM items should be resolved before final approval sign-off. LOW items are recommended improvements that can be addressed post-launch if necessary.</w:t>
      </w:r>
    </w:p>
    <w:p>
      <w:pPr>
        <w:spacing w:after="100" w:before="100"/>
      </w:pPr>
      <w:r>
        <w:t xml:space="preserve"/>
      </w:r>
    </w:p>
    <w:p>
      <w:pPr>
        <w:spacing w:after="60" w:before="60"/>
      </w:pPr>
      <w:r>
        <w:rPr>
          <w:rFonts w:ascii="Arial" w:cs="Arial" w:eastAsia="Arial" w:hAnsi="Arial"/>
          <w:b/>
          <w:bCs/>
          <w:i w:val="false"/>
          <w:iCs w:val="false"/>
          <w:color w:val="555555"/>
          <w:sz w:val="19"/>
          <w:szCs w:val="19"/>
        </w:rPr>
        <w:t xml:space="preserve">Legend:</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320"/>
        <w:gridCol w:w="1320"/>
        <w:gridCol w:w="1320"/>
        <w:gridCol w:w="1320"/>
        <w:gridCol w:w="1360"/>
      </w:tblGrid>
      <w:tr>
        <w:tc>
          <w:tcPr>
            <w:tcBorders>
              <w:top w:val="none" w:color="FFFFFF" w:sz="0"/>
              <w:left w:val="none" w:color="FFFFFF" w:sz="0"/>
              <w:bottom w:val="none" w:color="FFFFFF" w:sz="0"/>
              <w:right w:val="none" w:color="FFFFFF" w:sz="0"/>
            </w:tcBorders>
            <w:shd w:fill="C62828" w:val="clear"/>
            <w:tcMar>
              <w:top w:type="dxa" w:w="60"/>
              <w:left w:type="dxa" w:w="100"/>
              <w:bottom w:type="dxa" w:w="60"/>
              <w:right w:type="dxa" w:w="100"/>
            </w:tcMar>
          </w:tcPr>
          <w:p>
            <w:r>
              <w:rPr>
                <w:rFonts w:ascii="Arial" w:cs="Arial" w:eastAsia="Arial" w:hAnsi="Arial"/>
                <w:b/>
                <w:bCs/>
                <w:color w:val="FFFFFF"/>
                <w:sz w:val="17"/>
                <w:szCs w:val="17"/>
              </w:rPr>
              <w:t xml:space="preserve">HIGH / Pri</w:t>
            </w:r>
          </w:p>
        </w:tc>
        <w:tc>
          <w:tcPr>
            <w:tcBorders>
              <w:top w:val="none" w:color="FFFFFF" w:sz="0"/>
              <w:left w:val="none" w:color="FFFFFF" w:sz="0"/>
              <w:bottom w:val="none" w:color="FFFFFF" w:sz="0"/>
              <w:right w:val="none" w:color="FFFFFF" w:sz="0"/>
            </w:tcBorders>
            <w:shd w:fill="E65100" w:val="clear"/>
            <w:tcMar>
              <w:top w:type="dxa" w:w="60"/>
              <w:left w:type="dxa" w:w="100"/>
              <w:bottom w:type="dxa" w:w="60"/>
              <w:right w:type="dxa" w:w="100"/>
            </w:tcMar>
          </w:tcPr>
          <w:p>
            <w:r>
              <w:rPr>
                <w:rFonts w:ascii="Arial" w:cs="Arial" w:eastAsia="Arial" w:hAnsi="Arial"/>
                <w:b/>
                <w:bCs/>
                <w:color w:val="FFFFFF"/>
                <w:sz w:val="17"/>
                <w:szCs w:val="17"/>
              </w:rPr>
              <w:t xml:space="preserve">MEDIUM / Pri</w:t>
            </w:r>
          </w:p>
        </w:tc>
        <w:tc>
          <w:tcPr>
            <w:tcBorders>
              <w:top w:val="none" w:color="FFFFFF" w:sz="0"/>
              <w:left w:val="none" w:color="FFFFFF" w:sz="0"/>
              <w:bottom w:val="none" w:color="FFFFFF" w:sz="0"/>
              <w:right w:val="none" w:color="FFFFFF" w:sz="0"/>
            </w:tcBorders>
            <w:shd w:fill="1565C0" w:val="clear"/>
            <w:tcMar>
              <w:top w:type="dxa" w:w="60"/>
              <w:left w:type="dxa" w:w="100"/>
              <w:bottom w:type="dxa" w:w="60"/>
              <w:right w:type="dxa" w:w="100"/>
            </w:tcMar>
          </w:tcPr>
          <w:p>
            <w:r>
              <w:rPr>
                <w:rFonts w:ascii="Arial" w:cs="Arial" w:eastAsia="Arial" w:hAnsi="Arial"/>
                <w:b/>
                <w:bCs/>
                <w:color w:val="FFFFFF"/>
                <w:sz w:val="17"/>
                <w:szCs w:val="17"/>
              </w:rPr>
              <w:t xml:space="preserve">LOW / Pri</w:t>
            </w:r>
          </w:p>
        </w:tc>
        <w:tc>
          <w:tcPr>
            <w:tcBorders>
              <w:top w:val="none" w:color="FFFFFF" w:sz="0"/>
              <w:left w:val="none" w:color="FFFFFF" w:sz="0"/>
              <w:bottom w:val="none" w:color="FFFFFF" w:sz="0"/>
              <w:right w:val="none" w:color="FFFFFF" w:sz="0"/>
            </w:tcBorders>
            <w:shd w:fill="1B5E20" w:val="clear"/>
            <w:tcMar>
              <w:top w:type="dxa" w:w="60"/>
              <w:left w:type="dxa" w:w="100"/>
              <w:bottom w:type="dxa" w:w="60"/>
              <w:right w:type="dxa" w:w="100"/>
            </w:tcMar>
          </w:tcPr>
          <w:p>
            <w:r>
              <w:rPr>
                <w:rFonts w:ascii="Arial" w:cs="Arial" w:eastAsia="Arial" w:hAnsi="Arial"/>
                <w:b/>
                <w:bCs/>
                <w:color w:val="FFFFFF"/>
                <w:sz w:val="17"/>
                <w:szCs w:val="17"/>
              </w:rPr>
              <w:t xml:space="preserve">New Page</w:t>
            </w:r>
          </w:p>
        </w:tc>
        <w:tc>
          <w:tcPr>
            <w:tcBorders>
              <w:top w:val="none" w:color="FFFFFF" w:sz="0"/>
              <w:left w:val="none" w:color="FFFFFF" w:sz="0"/>
              <w:bottom w:val="none" w:color="FFFFFF" w:sz="0"/>
              <w:right w:val="none" w:color="FFFFFF" w:sz="0"/>
            </w:tcBorders>
            <w:shd w:fill="2E7D52" w:val="clear"/>
            <w:tcMar>
              <w:top w:type="dxa" w:w="60"/>
              <w:left w:type="dxa" w:w="100"/>
              <w:bottom w:type="dxa" w:w="60"/>
              <w:right w:type="dxa" w:w="100"/>
            </w:tcMar>
          </w:tcPr>
          <w:p>
            <w:r>
              <w:rPr>
                <w:rFonts w:ascii="Arial" w:cs="Arial" w:eastAsia="Arial" w:hAnsi="Arial"/>
                <w:b/>
                <w:bCs/>
                <w:color w:val="FFFFFF"/>
                <w:sz w:val="17"/>
                <w:szCs w:val="17"/>
              </w:rPr>
              <w:t xml:space="preserve">New Content</w:t>
            </w:r>
          </w:p>
        </w:tc>
        <w:tc>
          <w:tcPr>
            <w:tcBorders>
              <w:top w:val="none" w:color="FFFFFF" w:sz="0"/>
              <w:left w:val="none" w:color="FFFFFF" w:sz="0"/>
              <w:bottom w:val="none" w:color="FFFFFF" w:sz="0"/>
              <w:right w:val="none" w:color="FFFFFF" w:sz="0"/>
            </w:tcBorders>
            <w:shd w:fill="0D47A1" w:val="clear"/>
            <w:tcMar>
              <w:top w:type="dxa" w:w="60"/>
              <w:left w:type="dxa" w:w="100"/>
              <w:bottom w:type="dxa" w:w="60"/>
              <w:right w:type="dxa" w:w="100"/>
            </w:tcMar>
          </w:tcPr>
          <w:p>
            <w:r>
              <w:rPr>
                <w:rFonts w:ascii="Arial" w:cs="Arial" w:eastAsia="Arial" w:hAnsi="Arial"/>
                <w:b/>
                <w:bCs/>
                <w:color w:val="FFFFFF"/>
                <w:sz w:val="17"/>
                <w:szCs w:val="17"/>
              </w:rPr>
              <w:t xml:space="preserve">New Feature</w:t>
            </w:r>
          </w:p>
        </w:tc>
        <w:tc>
          <w:tcPr>
            <w:tcBorders>
              <w:top w:val="none" w:color="FFFFFF" w:sz="0"/>
              <w:left w:val="none" w:color="FFFFFF" w:sz="0"/>
              <w:bottom w:val="none" w:color="FFFFFF" w:sz="0"/>
              <w:right w:val="none" w:color="FFFFFF" w:sz="0"/>
            </w:tcBorders>
            <w:shd w:fill="E65100" w:val="clear"/>
            <w:tcMar>
              <w:top w:type="dxa" w:w="60"/>
              <w:left w:type="dxa" w:w="100"/>
              <w:bottom w:type="dxa" w:w="60"/>
              <w:right w:type="dxa" w:w="100"/>
            </w:tcMar>
          </w:tcPr>
          <w:p>
            <w:r>
              <w:rPr>
                <w:rFonts w:ascii="Arial" w:cs="Arial" w:eastAsia="Arial" w:hAnsi="Arial"/>
                <w:b/>
                <w:bCs/>
                <w:color w:val="FFFFFF"/>
                <w:sz w:val="17"/>
                <w:szCs w:val="17"/>
              </w:rPr>
              <w:t xml:space="preserve">Changed Process</w:t>
            </w:r>
          </w:p>
        </w:tc>
      </w:tr>
    </w:tbl>
    <w:p>
      <w:r>
        <w:br w:type="page"/>
      </w:r>
    </w:p>
    <w:p>
      <w:pPr>
        <w:pStyle w:val="Heading1"/>
      </w:pPr>
      <w:r>
        <w:rPr>
          <w:rFonts w:ascii="Arial" w:cs="Arial" w:eastAsia="Arial" w:hAnsi="Arial"/>
          <w:b/>
          <w:bCs/>
          <w:color w:val="1A4A2E"/>
          <w:sz w:val="36"/>
          <w:szCs w:val="36"/>
        </w:rPr>
        <w:t xml:space="preserve">Section 1 — Conflicting Information</w:t>
      </w:r>
    </w:p>
    <w:p>
      <w:pPr>
        <w:spacing w:after="60" w:before="60"/>
      </w:pPr>
      <w:r>
        <w:rPr>
          <w:rFonts w:ascii="Arial" w:cs="Arial" w:eastAsia="Arial" w:hAnsi="Arial"/>
          <w:b w:val="false"/>
          <w:bCs w:val="false"/>
          <w:i w:val="false"/>
          <w:iCs w:val="false"/>
          <w:color w:val="555555"/>
          <w:sz w:val="21"/>
          <w:szCs w:val="21"/>
        </w:rPr>
        <w:t xml:space="preserve">These are cases where the current site and staging site say different things about the same topic. Each requires a decision about which version is correct before launch.</w:t>
      </w:r>
    </w:p>
    <w:p>
      <w:pPr>
        <w:spacing w:after="100" w:before="1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200"/>
        <w:gridCol w:w="2200"/>
        <w:gridCol w:w="1600"/>
        <w:gridCol w:w="360"/>
      </w:tblGrid>
      <w:tr>
        <w:trPr>
          <w:tblHeader/>
        </w:trPr>
        <w:tc>
          <w:tcPr>
            <w:tcW w:type="dxa" w:w="72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Topic</w:t>
            </w:r>
          </w:p>
        </w:tc>
        <w:tc>
          <w:tcPr>
            <w:tcW w:type="dxa" w:w="22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Current Site Says</w:t>
            </w:r>
          </w:p>
        </w:tc>
        <w:tc>
          <w:tcPr>
            <w:tcW w:type="dxa" w:w="22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Staging Site Says</w:t>
            </w:r>
          </w:p>
        </w:tc>
        <w:tc>
          <w:tcPr>
            <w:tcW w:type="dxa" w:w="16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Notes / Action</w:t>
            </w:r>
          </w:p>
        </w:tc>
        <w:tc>
          <w:tcPr>
            <w:tcW w:type="dxa" w:w="36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Sev</w:t>
            </w:r>
          </w:p>
        </w:tc>
      </w:tr>
      <w:tr>
        <w:tc>
          <w:tcPr>
            <w:tcW w:type="dxa" w:w="7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C-01</w:t>
            </w:r>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111111"/>
                <w:sz w:val="19"/>
                <w:szCs w:val="19"/>
              </w:rPr>
              <w:t xml:space="preserve">Location Reference on Floor Plans Page</w:t>
            </w:r>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Floor Plans page says: "our homes in Marietta, GA"</w:t>
            </w:r>
          </w:p>
          <w:p>
            <w:pPr>
              <w:spacing w:before="60"/>
            </w:pPr>
            <w:hyperlink w:history="1" r:id="rIdx6pekggoqwfvhcbufwa_c">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Floor Plans page correctly identifies Fayetteville, GA</w:t>
            </w:r>
          </w:p>
          <w:p>
            <w:pPr>
              <w:spacing w:before="60"/>
            </w:pPr>
            <w:hyperlink w:history="1" r:id="rIdvrzw5-bvd4ulueey_fe86">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Active wrong-city reference on live site. Must be corrected before or alongside launch.</w:t>
            </w:r>
          </w:p>
        </w:tc>
        <w:tc>
          <w:tcPr>
            <w:tcW w:type="dxa" w:w="36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HIGH</w:t>
            </w:r>
          </w:p>
        </w:tc>
      </w:tr>
      <w:tr>
        <w:tc>
          <w:tcPr>
            <w:tcW w:type="dxa" w:w="7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C-02</w:t>
            </w:r>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111111"/>
                <w:sz w:val="19"/>
                <w:szCs w:val="19"/>
              </w:rPr>
              <w:t xml:space="preserve">Brand Name on Careers Page</w:t>
            </w:r>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Careers page says "Sterling Estates" throughout (wrong brand)</w:t>
            </w:r>
          </w:p>
          <w:p>
            <w:pPr>
              <w:spacing w:before="60"/>
            </w:pPr>
            <w:hyperlink w:history="1" r:id="rIdfbxdffnblky4_qqxki3tr">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Careers page correctly uses "Azalea Estates"</w:t>
            </w:r>
          </w:p>
          <w:p>
            <w:pPr>
              <w:spacing w:before="60"/>
            </w:pPr>
            <w:hyperlink w:history="1" r:id="rIdkaimklznme7bf6vtjwxzf">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"Sterling Estates" appears in the Careers intro copy and job descriptions on the live site. Likely copy-paste from a sister property.</w:t>
            </w:r>
          </w:p>
        </w:tc>
        <w:tc>
          <w:tcPr>
            <w:tcW w:type="dxa" w:w="36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HIGH</w:t>
            </w:r>
          </w:p>
        </w:tc>
      </w:tr>
      <w:tr>
        <w:tc>
          <w:tcPr>
            <w:tcW w:type="dxa" w:w="7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C-03</w:t>
            </w:r>
          </w:p>
        </w:tc>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111111"/>
                <w:sz w:val="19"/>
                <w:szCs w:val="19"/>
              </w:rPr>
              <w:t xml:space="preserve">One Bedroom Floor Plan Square Footage</w:t>
            </w:r>
          </w:p>
        </w:tc>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One Bedroom listed as 408 sq. ft.</w:t>
            </w:r>
          </w:p>
          <w:p>
            <w:pPr>
              <w:spacing w:before="60"/>
            </w:pPr>
            <w:hyperlink w:history="1" r:id="rIdldnrdg6yrpr68-i366766">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One Bedroom listed as 411 sq. ft.</w:t>
            </w:r>
          </w:p>
          <w:p>
            <w:pPr>
              <w:spacing w:before="60"/>
            </w:pPr>
            <w:hyperlink w:history="1" r:id="rIdxtimgp8kjodrxczq1szjl">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3 sq. ft. discrepancy. Confirm actual measurement and update whichever is incorrect before launch.</w:t>
            </w:r>
          </w:p>
        </w:tc>
        <w:tc>
          <w:tcPr>
            <w:tcW w:type="dxa" w:w="36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MEDIUM</w:t>
            </w:r>
          </w:p>
        </w:tc>
      </w:tr>
      <w:tr>
        <w:tc>
          <w:tcPr>
            <w:tcW w:type="dxa" w:w="72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C-04</w:t>
            </w:r>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b/>
                <w:bCs/>
                <w:color w:val="111111"/>
                <w:sz w:val="19"/>
                <w:szCs w:val="19"/>
              </w:rPr>
              <w:t xml:space="preserve">Activity Director Tenure Claim</w:t>
            </w:r>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Homepage says activity director "has been with us for many years." Activities page says "over 15 years."</w:t>
            </w:r>
          </w:p>
          <w:p>
            <w:pPr>
              <w:spacing w:before="60"/>
            </w:pPr>
            <w:hyperlink w:history="1" r:id="rIdh0j7ypswznyokdlvftyqz">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References "full-time Activity Director" without a specific tenure claim.</w:t>
            </w:r>
          </w:p>
          <w:p>
            <w:pPr>
              <w:spacing w:before="60"/>
            </w:pPr>
            <w:hyperlink w:history="1" r:id="rIdbqjasgazcqtugtk1l6joj">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Staging omits the tenure claim entirely. Verify current tenure and decide whether to include it on the new site.</w:t>
            </w:r>
          </w:p>
        </w:tc>
        <w:tc>
          <w:tcPr>
            <w:tcW w:type="dxa" w:w="3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LOW</w:t>
            </w:r>
          </w:p>
        </w:tc>
      </w:tr>
      <w:tr>
        <w:tc>
          <w:tcPr>
            <w:tcW w:type="dxa" w:w="72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C-05</w:t>
            </w:r>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b/>
                <w:bCs/>
                <w:color w:val="111111"/>
                <w:sz w:val="19"/>
                <w:szCs w:val="19"/>
              </w:rPr>
              <w:t xml:space="preserve">Chef Tenure Claim</w:t>
            </w:r>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Dining page states "Our Chef with over 20 years of service"</w:t>
            </w:r>
          </w:p>
          <w:p>
            <w:pPr>
              <w:spacing w:before="60"/>
            </w:pPr>
            <w:hyperlink w:history="1" r:id="rIdlcy7ncl3iti8rq9em4q2s">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Dining page does not include a specific chef tenure claim.</w:t>
            </w:r>
          </w:p>
          <w:p>
            <w:pPr>
              <w:spacing w:before="60"/>
            </w:pPr>
            <w:hyperlink w:history="1" r:id="rIdr-ykcsp4gejpfue2yck02">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If the chef is still on staff with 20+ years, this is a strong credibility signal worth preserving.</w:t>
            </w:r>
          </w:p>
        </w:tc>
        <w:tc>
          <w:tcPr>
            <w:tcW w:type="dxa" w:w="3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LOW</w:t>
            </w:r>
          </w:p>
        </w:tc>
      </w:tr>
      <w:tr>
        <w:tc>
          <w:tcPr>
            <w:tcW w:type="dxa" w:w="7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C-06</w:t>
            </w:r>
          </w:p>
        </w:tc>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111111"/>
                <w:sz w:val="19"/>
                <w:szCs w:val="19"/>
              </w:rPr>
              <w:t xml:space="preserve">Contact Form — Living Option Categories</w:t>
            </w:r>
          </w:p>
        </w:tc>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Contact form includes "Independent Cottages, Independent Apartments, Assisted Living, Memory Care" as inquiry options</w:t>
            </w:r>
          </w:p>
          <w:p>
            <w:pPr>
              <w:spacing w:before="60"/>
            </w:pPr>
            <w:hyperlink w:history="1" r:id="rIdd1hm5fut5ncq3-3aiapwk">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Contact form offers "Independent / Retirement Living, Assisted Living, Respite / Short-term Care, Scheduling a tour, Something else"</w:t>
            </w:r>
          </w:p>
          <w:p>
            <w:pPr>
              <w:spacing w:before="60"/>
            </w:pPr>
            <w:hyperlink w:history="1" r:id="rIdgbypbzki37ptjepgu0xzc">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Current site references "Memory Care" and "Independent Cottages" which do not appear as offerings anywhere else on either site. Staging removes these. Confirm these options are intentionally removed.</w:t>
            </w:r>
          </w:p>
        </w:tc>
        <w:tc>
          <w:tcPr>
            <w:tcW w:type="dxa" w:w="36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MEDIUM</w:t>
            </w:r>
          </w:p>
        </w:tc>
      </w:tr>
      <w:tr>
        <w:tc>
          <w:tcPr>
            <w:tcW w:type="dxa" w:w="72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C-07</w:t>
            </w:r>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b/>
                <w:bCs/>
                <w:color w:val="111111"/>
                <w:sz w:val="19"/>
                <w:szCs w:val="19"/>
              </w:rPr>
              <w:t xml:space="preserve">"Years in Business" Phrasing</w:t>
            </w:r>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"For over 30 years" (homepage)</w:t>
            </w:r>
          </w:p>
          <w:p>
            <w:pPr>
              <w:spacing w:before="60"/>
            </w:pPr>
            <w:hyperlink w:history="1" r:id="rIdrmwg0r07r6zyzvkr3ix2x">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"Thirty years," "30+ years," and "family-owned since 1993" (multiple pages)</w:t>
            </w:r>
          </w:p>
          <w:p>
            <w:pPr>
              <w:spacing w:before="60"/>
            </w:pPr>
            <w:hyperlink w:history="1" r:id="rIda7n7qlu0jdumqkmorgfyi">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Not a factual conflict, but staging is more specific ("since 1993"). Ensure 1993 is accurate — if so, it's stronger messaging.</w:t>
            </w:r>
          </w:p>
        </w:tc>
        <w:tc>
          <w:tcPr>
            <w:tcW w:type="dxa" w:w="3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LOW</w:t>
            </w:r>
          </w:p>
        </w:tc>
      </w:tr>
      <w:tr>
        <w:tc>
          <w:tcPr>
            <w:tcW w:type="dxa" w:w="7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C-08</w:t>
            </w:r>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111111"/>
                <w:sz w:val="19"/>
                <w:szCs w:val="19"/>
              </w:rPr>
              <w:t xml:space="preserve">Campus Acreage</w:t>
            </w:r>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"a beautiful landscaped, 6-acre neighborhood campus" (homepage, Neighborhood Living section)</w:t>
            </w:r>
          </w:p>
          <w:p>
            <w:pPr>
              <w:spacing w:before="60"/>
            </w:pPr>
            <w:hyperlink w:history="1" r:id="rId0xgqr7cotzjrtebleq22x">
              <w:r>
                <w:rPr>
                  <w:rFonts w:ascii="Arial" w:cs="Arial" w:eastAsia="Arial" w:hAnsi="Arial"/>
                  <w:color w:val="1565C0"/>
                  <w:sz w:val="16"/>
                  <w:szCs w:val="16"/>
                  <w:u w:val="single"/>
                </w:rPr>
                <w:t xml:space="preserve">View page →</w:t>
              </w:r>
            </w:hyperlink>
          </w:p>
        </w:tc>
        <w:tc>
          <w:tcPr>
            <w:tcW w:type="dxa" w:w="2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"Azalea Estates sits on a quiet 10-acre campus just off Highway 54" (homepage)</w:t>
            </w:r>
          </w:p>
          <w:p>
            <w:pPr>
              <w:spacing w:before="60"/>
            </w:pPr>
            <w:hyperlink w:history="1" r:id="rIdzts0bavgl9n24xqstumhd">
              <w:r>
                <w:rPr>
                  <w:rFonts w:ascii="Arial" w:cs="Arial" w:eastAsia="Arial" w:hAnsi="Arial"/>
                  <w:color w:val="1565C0"/>
                  <w:sz w:val="16"/>
                  <w:szCs w:val="16"/>
                  <w:u w:val="single"/>
                </w:rPr>
                <w:t xml:space="preserve">View page →</w:t>
              </w:r>
            </w:hyperlink>
          </w:p>
        </w:tc>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17"/>
                <w:szCs w:val="17"/>
              </w:rPr>
              <w:t xml:space="preserve">Direct factual conflict — 6 acres vs. 10 acres. Verify the actual campus size with management and correct whichever site is wrong before launch.</w:t>
            </w:r>
          </w:p>
        </w:tc>
        <w:tc>
          <w:tcPr>
            <w:tcW w:type="dxa" w:w="36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HIGH</w:t>
            </w:r>
          </w:p>
        </w:tc>
      </w:tr>
    </w:tbl>
    <w:p>
      <w:r>
        <w:br w:type="page"/>
      </w:r>
    </w:p>
    <w:p>
      <w:pPr>
        <w:pStyle w:val="Heading1"/>
      </w:pPr>
      <w:r>
        <w:rPr>
          <w:rFonts w:ascii="Arial" w:cs="Arial" w:eastAsia="Arial" w:hAnsi="Arial"/>
          <w:b/>
          <w:bCs/>
          <w:color w:val="1A4A2E"/>
          <w:sz w:val="36"/>
          <w:szCs w:val="36"/>
        </w:rPr>
        <w:t xml:space="preserve">Section 2 — Content Gaps on Staging</w:t>
      </w:r>
    </w:p>
    <w:p>
      <w:pPr>
        <w:spacing w:after="60" w:before="60"/>
      </w:pPr>
      <w:r>
        <w:rPr>
          <w:rFonts w:ascii="Arial" w:cs="Arial" w:eastAsia="Arial" w:hAnsi="Arial"/>
          <w:b w:val="false"/>
          <w:bCs w:val="false"/>
          <w:i w:val="false"/>
          <w:iCs w:val="false"/>
          <w:color w:val="555555"/>
          <w:sz w:val="21"/>
          <w:szCs w:val="21"/>
        </w:rPr>
        <w:t xml:space="preserve">These are items present on the current site that are missing or incomplete on the staging site. HIGH priority gaps could result in a worse user experience or loss of important information at launch.</w:t>
      </w:r>
    </w:p>
    <w:p>
      <w:pPr>
        <w:spacing w:after="100" w:before="1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2000"/>
        <w:gridCol w:w="1400"/>
        <w:gridCol w:w="360"/>
      </w:tblGrid>
      <w:tr>
        <w:trPr>
          <w:tblHeader/>
        </w:trPr>
        <w:tc>
          <w:tcPr>
            <w:tcW w:type="dxa" w:w="72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Topic</w:t>
            </w:r>
          </w:p>
        </w:tc>
        <w:tc>
          <w:tcPr>
            <w:tcW w:type="dxa" w:w="24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Current Site Content</w:t>
            </w:r>
          </w:p>
        </w:tc>
        <w:tc>
          <w:tcPr>
            <w:tcW w:type="dxa" w:w="20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Staging Status</w:t>
            </w:r>
          </w:p>
        </w:tc>
        <w:tc>
          <w:tcPr>
            <w:tcW w:type="dxa" w:w="14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Current URL</w:t>
            </w:r>
          </w:p>
        </w:tc>
        <w:tc>
          <w:tcPr>
            <w:tcW w:type="dxa" w:w="36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Pri</w:t>
            </w:r>
          </w:p>
        </w:tc>
      </w:tr>
      <w:tr>
        <w:tc>
          <w:tcPr>
            <w:tcW w:type="dxa" w:w="7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G-01</w:t>
            </w:r>
          </w:p>
        </w:tc>
        <w:tc>
          <w:tcPr>
            <w:tcW w:type="dxa" w:w="2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111111"/>
                <w:sz w:val="19"/>
                <w:szCs w:val="19"/>
              </w:rPr>
              <w:t xml:space="preserve">Videos Page Content</w:t>
            </w:r>
          </w:p>
        </w:tc>
        <w:tc>
          <w:tcPr>
            <w:tcW w:type="dxa" w:w="2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10 named videos: Campus Tour, Resident testimonials, All Together Now, Garden, Promo, Pool/Fitness, Amenities, Parkinson's, Covid Vaccine (x2)</w:t>
            </w:r>
          </w:p>
        </w:tc>
        <w:tc>
          <w:tcPr>
            <w:tcW w:type="dxa" w:w="2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Videos page exists but only shows 1 video excerpt (Parkinson's). Remaining 9 videos not surfaced.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hyperlink w:history="1" r:id="rIdwhwvpiwhpge4olkxu5fwk">
              <w:r>
                <w:rPr>
                  <w:rFonts w:ascii="Arial" w:cs="Arial" w:eastAsia="Arial" w:hAnsi="Arial"/>
                  <w:color w:val="1565C0"/>
                  <w:sz w:val="17"/>
                  <w:szCs w:val="17"/>
                  <w:u w:val="single"/>
                </w:rPr>
                <w:t xml:space="preserve">Current →</w:t>
              </w:r>
            </w:hyperlink>
          </w:p>
          <w:p>
            <w:hyperlink w:history="1" r:id="rIdb6ijvfwvjeinz_kbutsxe">
              <w:r>
                <w:rPr>
                  <w:rFonts w:ascii="Arial" w:cs="Arial" w:eastAsia="Arial" w:hAnsi="Arial"/>
                  <w:color w:val="2E7D52"/>
                  <w:sz w:val="17"/>
                  <w:szCs w:val="17"/>
                  <w:u w:val="single"/>
                </w:rPr>
                <w:t xml:space="preserve">Staging →</w:t>
              </w:r>
            </w:hyperlink>
          </w:p>
        </w:tc>
        <w:tc>
          <w:tcPr>
            <w:tcW w:type="dxa" w:w="36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HIGH</w:t>
            </w:r>
          </w:p>
        </w:tc>
      </w:tr>
      <w:tr>
        <w:tc>
          <w:tcPr>
            <w:tcW w:type="dxa" w:w="7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G-02</w:t>
            </w:r>
          </w:p>
        </w:tc>
        <w:tc>
          <w:tcPr>
            <w:tcW w:type="dxa" w:w="2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111111"/>
                <w:sz w:val="19"/>
                <w:szCs w:val="19"/>
              </w:rPr>
              <w:t xml:space="preserve">Meet the Team — Staff Names &amp; Titles</w:t>
            </w:r>
          </w:p>
        </w:tc>
        <w:tc>
          <w:tcPr>
            <w:tcW w:type="dxa" w:w="2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11 named staff: Holly Woods (Exec Dir), Mirna Coeur (Community Relations), Asha Faison (Resident Care Dir), Shameka Clark (Wellness Dir), Stacey Kennedy (Activities Asst), Bobbie Barczynski (Kitchen Mgr), Sandy Zimmermann (Business Office Mgr), Harold Hardaway (Maintenance Dir), Marty Schilling (Maintenance Asst), Sandra Zabala (Weekend Mgr), Tony Hardy (Transportation Mgr)</w:t>
            </w:r>
          </w:p>
        </w:tc>
        <w:tc>
          <w:tcPr>
            <w:tcW w:type="dxa" w:w="2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Team page exists but full text extraction was incomplete. Needs verification that all 11 staff are present with correct names/titles.</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hyperlink w:history="1" r:id="rIdmdmc8hhibcx_dvvrwtbu_">
              <w:r>
                <w:rPr>
                  <w:rFonts w:ascii="Arial" w:cs="Arial" w:eastAsia="Arial" w:hAnsi="Arial"/>
                  <w:color w:val="1565C0"/>
                  <w:sz w:val="17"/>
                  <w:szCs w:val="17"/>
                  <w:u w:val="single"/>
                </w:rPr>
                <w:t xml:space="preserve">Current →</w:t>
              </w:r>
            </w:hyperlink>
          </w:p>
          <w:p>
            <w:hyperlink w:history="1" r:id="rIdr2ogzxaqa7-gmvj2ezevd">
              <w:r>
                <w:rPr>
                  <w:rFonts w:ascii="Arial" w:cs="Arial" w:eastAsia="Arial" w:hAnsi="Arial"/>
                  <w:color w:val="2E7D52"/>
                  <w:sz w:val="17"/>
                  <w:szCs w:val="17"/>
                  <w:u w:val="single"/>
                </w:rPr>
                <w:t xml:space="preserve">Staging →</w:t>
              </w:r>
            </w:hyperlink>
          </w:p>
        </w:tc>
        <w:tc>
          <w:tcPr>
            <w:tcW w:type="dxa" w:w="36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HIGH</w:t>
            </w:r>
          </w:p>
        </w:tc>
      </w:tr>
      <w:tr>
        <w:tc>
          <w:tcPr>
            <w:tcW w:type="dxa" w:w="7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G-03</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111111"/>
                <w:sz w:val="19"/>
                <w:szCs w:val="19"/>
              </w:rPr>
              <w:t xml:space="preserve">Parkinson's Program Detail</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Detailed description: 1-on-1 support, focus areas (rigidity, posture, gait, freezing, depression, voice projection), class structure</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Parkinson's program is mentioned on Wellness page but full detail extraction was incomplete. Needs manual verification.</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hyperlink w:history="1" r:id="rId_i3b-rnt9luygzxix_mrm">
              <w:r>
                <w:rPr>
                  <w:rFonts w:ascii="Arial" w:cs="Arial" w:eastAsia="Arial" w:hAnsi="Arial"/>
                  <w:color w:val="1565C0"/>
                  <w:sz w:val="17"/>
                  <w:szCs w:val="17"/>
                  <w:u w:val="single"/>
                </w:rPr>
                <w:t xml:space="preserve">Current →</w:t>
              </w:r>
            </w:hyperlink>
          </w:p>
          <w:p>
            <w:hyperlink w:history="1" r:id="rIdzo3qnvzytsy6hux0azidd">
              <w:r>
                <w:rPr>
                  <w:rFonts w:ascii="Arial" w:cs="Arial" w:eastAsia="Arial" w:hAnsi="Arial"/>
                  <w:color w:val="2E7D52"/>
                  <w:sz w:val="17"/>
                  <w:szCs w:val="17"/>
                  <w:u w:val="single"/>
                </w:rPr>
                <w:t xml:space="preserve">Staging →</w:t>
              </w:r>
            </w:hyperlink>
          </w:p>
        </w:tc>
        <w:tc>
          <w:tcPr>
            <w:tcW w:type="dxa" w:w="36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MEDIUM</w:t>
            </w:r>
          </w:p>
        </w:tc>
      </w:tr>
      <w:tr>
        <w:tc>
          <w:tcPr>
            <w:tcW w:type="dxa" w:w="7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G-04</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111111"/>
                <w:sz w:val="19"/>
                <w:szCs w:val="19"/>
              </w:rPr>
              <w:t xml:space="preserve">Activities &amp; Events Page</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Full page: Fox Theatre, Braves games, Atlanta Botanical Gardens; knitting club donating to Piedmont Fayette Hospital; worship services/bible studies; educational seminars</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Activity calendar page exists (autumglenaz.netlify.app/calendar/) but does not appear to have equivalent editorial content about types of activities and community outreach.</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hyperlink w:history="1" r:id="rIdo6p27bhlxumpdddm7ioj4">
              <w:r>
                <w:rPr>
                  <w:rFonts w:ascii="Arial" w:cs="Arial" w:eastAsia="Arial" w:hAnsi="Arial"/>
                  <w:color w:val="1565C0"/>
                  <w:sz w:val="17"/>
                  <w:szCs w:val="17"/>
                  <w:u w:val="single"/>
                </w:rPr>
                <w:t xml:space="preserve">Current →</w:t>
              </w:r>
            </w:hyperlink>
          </w:p>
          <w:p>
            <w:hyperlink w:history="1" r:id="rIdft4kdg3vxpc9twxkyxv2q">
              <w:r>
                <w:rPr>
                  <w:rFonts w:ascii="Arial" w:cs="Arial" w:eastAsia="Arial" w:hAnsi="Arial"/>
                  <w:color w:val="2E7D52"/>
                  <w:sz w:val="17"/>
                  <w:szCs w:val="17"/>
                  <w:u w:val="single"/>
                </w:rPr>
                <w:t xml:space="preserve">Staging →</w:t>
              </w:r>
            </w:hyperlink>
          </w:p>
        </w:tc>
        <w:tc>
          <w:tcPr>
            <w:tcW w:type="dxa" w:w="36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MEDIUM</w:t>
            </w:r>
          </w:p>
        </w:tc>
      </w:tr>
      <w:tr>
        <w:tc>
          <w:tcPr>
            <w:tcW w:type="dxa" w:w="72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G-05</w:t>
            </w:r>
          </w:p>
        </w:tc>
        <w:tc>
          <w:tcPr>
            <w:tcW w:type="dxa" w:w="24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b/>
                <w:bCs/>
                <w:color w:val="111111"/>
                <w:sz w:val="19"/>
                <w:szCs w:val="19"/>
              </w:rPr>
              <w:t xml:space="preserve">Wellness Coordinator Credentials</w:t>
            </w:r>
          </w:p>
        </w:tc>
        <w:tc>
          <w:tcPr>
            <w:tcW w:type="dxa" w:w="24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"BS degree in Science and Exercise Physiology" — specific credential</w:t>
            </w:r>
          </w:p>
        </w:tc>
        <w:tc>
          <w:tcPr>
            <w:tcW w:type="dxa" w:w="20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r>
              <w:rPr>
                <w:rFonts w:ascii="Arial" w:cs="Arial" w:eastAsia="Arial" w:hAnsi="Arial"/>
                <w:color w:val="555555"/>
                <w:sz w:val="18"/>
                <w:szCs w:val="18"/>
              </w:rPr>
              <w:t xml:space="preserve">Staging references a fitness trainer but does not include the specific degree credential.</w:t>
            </w:r>
          </w:p>
        </w:tc>
        <w:tc>
          <w:tcPr>
            <w:tcW w:type="dxa" w:w="1400"/>
            <w:tcBorders>
              <w:top w:val="single" w:color="CCCCCC" w:sz="1"/>
              <w:left w:val="single" w:color="CCCCCC" w:sz="1"/>
              <w:bottom w:val="single" w:color="CCCCCC" w:sz="1"/>
              <w:right w:val="single" w:color="CCCCCC" w:sz="1"/>
            </w:tcBorders>
            <w:shd w:fill="F3F8FF" w:val="clear"/>
            <w:tcMar>
              <w:top w:type="dxa" w:w="100"/>
              <w:left w:type="dxa" w:w="140"/>
              <w:bottom w:type="dxa" w:w="100"/>
              <w:right w:type="dxa" w:w="140"/>
            </w:tcMar>
          </w:tcPr>
          <w:p>
            <w:hyperlink w:history="1" r:id="rIdoza9hdgnpruyjr6e7y-1a">
              <w:r>
                <w:rPr>
                  <w:rFonts w:ascii="Arial" w:cs="Arial" w:eastAsia="Arial" w:hAnsi="Arial"/>
                  <w:color w:val="1565C0"/>
                  <w:sz w:val="17"/>
                  <w:szCs w:val="17"/>
                  <w:u w:val="single"/>
                </w:rPr>
                <w:t xml:space="preserve">Current →</w:t>
              </w:r>
            </w:hyperlink>
          </w:p>
          <w:p>
            <w:hyperlink w:history="1" r:id="rIdgbxefeutob6afv0pjsjpv">
              <w:r>
                <w:rPr>
                  <w:rFonts w:ascii="Arial" w:cs="Arial" w:eastAsia="Arial" w:hAnsi="Arial"/>
                  <w:color w:val="2E7D52"/>
                  <w:sz w:val="17"/>
                  <w:szCs w:val="17"/>
                  <w:u w:val="single"/>
                </w:rPr>
                <w:t xml:space="preserve">Staging →</w:t>
              </w:r>
            </w:hyperlink>
          </w:p>
        </w:tc>
        <w:tc>
          <w:tcPr>
            <w:tcW w:type="dxa" w:w="36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LOW</w:t>
            </w:r>
          </w:p>
        </w:tc>
      </w:tr>
      <w:tr>
        <w:tc>
          <w:tcPr>
            <w:tcW w:type="dxa" w:w="7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G-06</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111111"/>
                <w:sz w:val="19"/>
                <w:szCs w:val="19"/>
              </w:rPr>
              <w:t xml:space="preserve">"Try It, You'll Like It" Resident-for-a-Day Campaign</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PDF linked prominently in site header bar</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Not present anywhere on staging site.</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hyperlink w:history="1" r:id="rIdrlsmqoufoduik3kgsuja8">
              <w:r>
                <w:rPr>
                  <w:rFonts w:ascii="Arial" w:cs="Arial" w:eastAsia="Arial" w:hAnsi="Arial"/>
                  <w:color w:val="1565C0"/>
                  <w:sz w:val="17"/>
                  <w:szCs w:val="17"/>
                  <w:u w:val="single"/>
                </w:rPr>
                <w:t xml:space="preserve">Current →</w:t>
              </w:r>
            </w:hyperlink>
          </w:p>
        </w:tc>
        <w:tc>
          <w:tcPr>
            <w:tcW w:type="dxa" w:w="36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MEDIUM</w:t>
            </w:r>
          </w:p>
        </w:tc>
      </w:tr>
      <w:tr>
        <w:tc>
          <w:tcPr>
            <w:tcW w:type="dxa" w:w="72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G-07</w:t>
            </w:r>
          </w:p>
        </w:tc>
        <w:tc>
          <w:tcPr>
            <w:tcW w:type="dxa" w:w="2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111111"/>
                <w:sz w:val="19"/>
                <w:szCs w:val="19"/>
              </w:rPr>
              <w:t xml:space="preserve">Monthly Wellness Calendar PDF Link</w:t>
            </w:r>
          </w:p>
        </w:tc>
        <w:tc>
          <w:tcPr>
            <w:tcW w:type="dxa" w:w="2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Live PDF link in header bar (May 2026 calendar)</w:t>
            </w:r>
          </w:p>
        </w:tc>
        <w:tc>
          <w:tcPr>
            <w:tcW w:type="dxa" w:w="20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555555"/>
                <w:sz w:val="18"/>
                <w:szCs w:val="18"/>
              </w:rPr>
              <w:t xml:space="preserve">Calendar page exists at /calendar/ but PDF download link needs verification.</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hyperlink w:history="1" r:id="rIdni3_u5nnoh7xi7ej2jg5i">
              <w:r>
                <w:rPr>
                  <w:rFonts w:ascii="Arial" w:cs="Arial" w:eastAsia="Arial" w:hAnsi="Arial"/>
                  <w:color w:val="1565C0"/>
                  <w:sz w:val="17"/>
                  <w:szCs w:val="17"/>
                  <w:u w:val="single"/>
                </w:rPr>
                <w:t xml:space="preserve">Current →</w:t>
              </w:r>
            </w:hyperlink>
          </w:p>
          <w:p>
            <w:hyperlink w:history="1" r:id="rIdmogfhddwknhxsobo5iwwx">
              <w:r>
                <w:rPr>
                  <w:rFonts w:ascii="Arial" w:cs="Arial" w:eastAsia="Arial" w:hAnsi="Arial"/>
                  <w:color w:val="2E7D52"/>
                  <w:sz w:val="17"/>
                  <w:szCs w:val="17"/>
                  <w:u w:val="single"/>
                </w:rPr>
                <w:t xml:space="preserve">Staging →</w:t>
              </w:r>
            </w:hyperlink>
          </w:p>
        </w:tc>
        <w:tc>
          <w:tcPr>
            <w:tcW w:type="dxa" w:w="36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HIGH</w:t>
            </w:r>
          </w:p>
        </w:tc>
      </w:tr>
      <w:tr>
        <w:tc>
          <w:tcPr>
            <w:tcW w:type="dxa" w:w="72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G-08</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111111"/>
                <w:sz w:val="19"/>
                <w:szCs w:val="19"/>
              </w:rPr>
              <w:t xml:space="preserve">Dining Page — Full Content</w:t>
            </w:r>
          </w:p>
        </w:tc>
        <w:tc>
          <w:tcPr>
            <w:tcW w:type="dxa" w:w="2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Full dining philosophy, southern cooking identity, 3 meals/day detail</w:t>
            </w:r>
          </w:p>
        </w:tc>
        <w:tc>
          <w:tcPr>
            <w:tcW w:type="dxa" w:w="20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color w:val="555555"/>
                <w:sz w:val="18"/>
                <w:szCs w:val="18"/>
              </w:rPr>
              <w:t xml:space="preserve">Dining page exists but full text extraction was incomplete. Manual review needed to confirm all content transferred.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hyperlink w:history="1" r:id="rId_feb-u1otkjpkkj4st-qa">
              <w:r>
                <w:rPr>
                  <w:rFonts w:ascii="Arial" w:cs="Arial" w:eastAsia="Arial" w:hAnsi="Arial"/>
                  <w:color w:val="1565C0"/>
                  <w:sz w:val="17"/>
                  <w:szCs w:val="17"/>
                  <w:u w:val="single"/>
                </w:rPr>
                <w:t xml:space="preserve">Current →</w:t>
              </w:r>
            </w:hyperlink>
          </w:p>
          <w:p>
            <w:hyperlink w:history="1" r:id="rIdyhtt0oyjxkt9-9wxur6a7">
              <w:r>
                <w:rPr>
                  <w:rFonts w:ascii="Arial" w:cs="Arial" w:eastAsia="Arial" w:hAnsi="Arial"/>
                  <w:color w:val="2E7D52"/>
                  <w:sz w:val="17"/>
                  <w:szCs w:val="17"/>
                  <w:u w:val="single"/>
                </w:rPr>
                <w:t xml:space="preserve">Staging →</w:t>
              </w:r>
            </w:hyperlink>
          </w:p>
        </w:tc>
        <w:tc>
          <w:tcPr>
            <w:tcW w:type="dxa" w:w="36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7"/>
                <w:szCs w:val="17"/>
              </w:rPr>
              <w:t xml:space="preserve">MEDIUM</w:t>
            </w:r>
          </w:p>
        </w:tc>
      </w:tr>
    </w:tbl>
    <w:p>
      <w:r>
        <w:br w:type="page"/>
      </w:r>
    </w:p>
    <w:p>
      <w:pPr>
        <w:pStyle w:val="Heading1"/>
      </w:pPr>
      <w:r>
        <w:rPr>
          <w:rFonts w:ascii="Arial" w:cs="Arial" w:eastAsia="Arial" w:hAnsi="Arial"/>
          <w:b/>
          <w:bCs/>
          <w:color w:val="1A4A2E"/>
          <w:sz w:val="36"/>
          <w:szCs w:val="36"/>
        </w:rPr>
        <w:t xml:space="preserve">Section 3 — Net New Content on Staging</w:t>
      </w:r>
    </w:p>
    <w:p>
      <w:pPr>
        <w:spacing w:after="60" w:before="60"/>
      </w:pPr>
      <w:r>
        <w:rPr>
          <w:rFonts w:ascii="Arial" w:cs="Arial" w:eastAsia="Arial" w:hAnsi="Arial"/>
          <w:b w:val="false"/>
          <w:bCs w:val="false"/>
          <w:i w:val="false"/>
          <w:iCs w:val="false"/>
          <w:color w:val="555555"/>
          <w:sz w:val="21"/>
          <w:szCs w:val="21"/>
        </w:rPr>
        <w:t xml:space="preserve">These items appear on the staging site but do not exist on the current site. They represent new pages, new messaging, new features, or changed processes. Please review each carefully — especially factual claims (nursing coverage hours, licensing status, testimonials, published email/hours) — to confirm accuracy before launch.</w:t>
      </w:r>
    </w:p>
    <w:p>
      <w:pPr>
        <w:spacing w:after="100" w:before="100"/>
      </w:pPr>
      <w:r>
        <w:t xml:space="preserve"/>
      </w:r>
    </w:p>
    <w:p>
      <w:pPr>
        <w:spacing w:after="60" w:before="60"/>
      </w:pPr>
      <w:r>
        <w:rPr>
          <w:rFonts w:ascii="Arial" w:cs="Arial" w:eastAsia="Arial" w:hAnsi="Arial"/>
          <w:b/>
          <w:bCs/>
          <w:i w:val="false"/>
          <w:iCs w:val="false"/>
          <w:color w:val="555555"/>
          <w:sz w:val="20"/>
          <w:szCs w:val="20"/>
        </w:rPr>
        <w:t xml:space="preserve">Pay special attention to:</w:t>
      </w:r>
    </w:p>
    <w:p>
      <w:pPr>
        <w:spacing w:after="60" w:before="60"/>
      </w:pPr>
      <w:r>
        <w:rPr>
          <w:rFonts w:ascii="Arial" w:cs="Arial" w:eastAsia="Arial" w:hAnsi="Arial"/>
          <w:b w:val="false"/>
          <w:bCs w:val="false"/>
          <w:i w:val="false"/>
          <w:iCs w:val="false"/>
          <w:color w:val="B71C1C"/>
          <w:sz w:val="20"/>
          <w:szCs w:val="20"/>
        </w:rPr>
        <w:t xml:space="preserve">N-03 (licensed provider claim) and N-08 (16-hour nursing coverage) — these are regulatory/legal claims that should be verified with staff.</w:t>
      </w:r>
    </w:p>
    <w:p>
      <w:pPr>
        <w:spacing w:after="60" w:before="60"/>
      </w:pPr>
      <w:r>
        <w:rPr>
          <w:rFonts w:ascii="Arial" w:cs="Arial" w:eastAsia="Arial" w:hAnsi="Arial"/>
          <w:b w:val="false"/>
          <w:bCs w:val="false"/>
          <w:i w:val="false"/>
          <w:iCs w:val="false"/>
          <w:color w:val="E65100"/>
          <w:sz w:val="20"/>
          <w:szCs w:val="20"/>
        </w:rPr>
        <w:t xml:space="preserve">N-05 (resident testimonials) — confirm these quotes are real, attributed correctly, and have appropriate consent.</w:t>
      </w:r>
    </w:p>
    <w:p>
      <w:pPr>
        <w:spacing w:after="60" w:before="60"/>
      </w:pPr>
      <w:r>
        <w:rPr>
          <w:rFonts w:ascii="Arial" w:cs="Arial" w:eastAsia="Arial" w:hAnsi="Arial"/>
          <w:b w:val="false"/>
          <w:bCs w:val="false"/>
          <w:i w:val="false"/>
          <w:iCs w:val="false"/>
          <w:color w:val="0D47A1"/>
          <w:sz w:val="20"/>
          <w:szCs w:val="20"/>
        </w:rPr>
        <w:t xml:space="preserve">N-06/N-07 (email + tour hours) — confirm the email address is monitored and hours are accurate.</w:t>
      </w:r>
    </w:p>
    <w:p>
      <w:pPr>
        <w:spacing w:after="100" w:before="1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4280"/>
        <w:gridCol w:w="1920"/>
        <w:gridCol w:w="360"/>
      </w:tblGrid>
      <w:tr>
        <w:trPr>
          <w:tblHeader/>
        </w:trPr>
        <w:tc>
          <w:tcPr>
            <w:tcW w:type="dxa" w:w="72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Topic</w:t>
            </w:r>
          </w:p>
        </w:tc>
        <w:tc>
          <w:tcPr>
            <w:tcW w:type="dxa" w:w="428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What's New</w:t>
            </w:r>
          </w:p>
        </w:tc>
        <w:tc>
          <w:tcPr>
            <w:tcW w:type="dxa" w:w="192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Staging URL</w:t>
            </w:r>
          </w:p>
        </w:tc>
        <w:tc>
          <w:tcPr>
            <w:tcW w:type="dxa" w:w="36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Type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About Us Page</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Full dedicated About page with company story, founding year (1993), values (Dignity First, Continuity of Care, Family Partnership, Community Fabric), geographic context (30 mi from Atlanta, 13 mi from Peachtree City), and licensing distinction.</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g4pxm0hbe_7d789bnr7ou">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Page</w:t>
            </w:r>
          </w:p>
        </w:tc>
      </w:tr>
      <w:tr>
        <w:tc>
          <w:tcPr>
            <w:tcW w:type="dxa" w:w="7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N-02</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11111"/>
                <w:sz w:val="19"/>
                <w:szCs w:val="19"/>
              </w:rPr>
              <w:t xml:space="preserve">Respite Care — Dedicated Page</w:t>
            </w:r>
          </w:p>
        </w:tc>
        <w:tc>
          <w:tcPr>
            <w:tcW w:type="dxa" w:w="4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Full page for short-term/respite care offering (post-surgical recovery, caregiver relief, trial stays). Not featured as a separate offering on current site.</w:t>
            </w:r>
          </w:p>
        </w:tc>
        <w:tc>
          <w:tcPr>
            <w:tcW w:type="dxa" w:w="19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hyperlink w:history="1" r:id="rIdbvlmgwam8l2-twa1ujjie">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Page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Assisted Living — Licensed Status Emphasis</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prominently calls out "one of only two licensed assisted living providers in Fayette County" with explanation of how that differs from a Personal Care Home designation. Not on current site.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cqbcwp1be2xytj1gk2ekm">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Messaging</w:t>
            </w:r>
          </w:p>
        </w:tc>
      </w:tr>
      <w:tr>
        <w:tc>
          <w:tcPr>
            <w:tcW w:type="dxa" w:w="7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N-04</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11111"/>
                <w:sz w:val="19"/>
                <w:szCs w:val="19"/>
              </w:rPr>
              <w:t xml:space="preserve">Schedule a Tour — Dedicated Page</w:t>
            </w:r>
          </w:p>
        </w:tc>
        <w:tc>
          <w:tcPr>
            <w:tcW w:type="dxa" w:w="4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Standalone tour-booking page with detailed form (preferred days, time of day, guests, notes), expectations (60–90 min, complimentary lunch, meet staff), and no-pressure framing.</w:t>
            </w:r>
          </w:p>
        </w:tc>
        <w:tc>
          <w:tcPr>
            <w:tcW w:type="dxa" w:w="19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hyperlink w:history="1" r:id="rIdz0ppsed-_npbdwxmah5tz">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Page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Resident Testimonials / Quotes</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includes attributed resident/family quotes (e.g., Eleanor V. — independent resident 4 years; Patterson Family — son of assisted living resident). Current site links to a videos page for testimonials but has no inline quotes.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yb7qvsovze1lr-uzqdogl">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Content</w:t>
            </w:r>
          </w:p>
        </w:tc>
      </w:tr>
      <w:tr>
        <w:tc>
          <w:tcPr>
            <w:tcW w:type="dxa" w:w="7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N-06</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11111"/>
                <w:sz w:val="19"/>
                <w:szCs w:val="19"/>
              </w:rPr>
              <w:t xml:space="preserve">Email Address Published</w:t>
            </w:r>
          </w:p>
        </w:tc>
        <w:tc>
          <w:tcPr>
            <w:tcW w:type="dxa" w:w="4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publishes info@azaleaestatesfayetteville.com throughout (contact page, accessibility page, privacy policy, careers). Current site has no published email address.</w:t>
            </w:r>
          </w:p>
        </w:tc>
        <w:tc>
          <w:tcPr>
            <w:tcW w:type="dxa" w:w="19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hyperlink w:history="1" r:id="rId0fswlzozvfwyimxvvcrnf">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Content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Tour Hours Listed</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lists "Monday–Friday, 9:00 AM–5:00 PM; Saturday by appointment" as tour/contact hours. Current site has no published hours.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ih92vm0pnggf4633ompwj">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Content</w:t>
            </w:r>
          </w:p>
        </w:tc>
      </w:tr>
      <w:tr>
        <w:tc>
          <w:tcPr>
            <w:tcW w:type="dxa" w:w="7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N-08</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11111"/>
                <w:sz w:val="19"/>
                <w:szCs w:val="19"/>
              </w:rPr>
              <w:t xml:space="preserve">Nursing Care Detail (16-Hour Coverage + RN/LPN)</w:t>
            </w:r>
          </w:p>
        </w:tc>
        <w:tc>
          <w:tcPr>
            <w:tcW w:type="dxa" w:w="4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specifies "up to 16 hours of nursing care daily" with on-site RN and LPN, 24/7 staffing. This level of care detail is not on the current site.</w:t>
            </w:r>
          </w:p>
        </w:tc>
        <w:tc>
          <w:tcPr>
            <w:tcW w:type="dxa" w:w="19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hyperlink w:history="1" r:id="rIdr2w3cj7igiixj1-ayfgan">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Content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N-09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Independent Living — Dedicated Sub-Page</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has a full dedicated independent living page with FAQs, included services checklist, and floor plan pricing CTA. Current site addresses this under a general Living Options page.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927jokiehimiwppge7e2m">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Page</w:t>
            </w:r>
          </w:p>
        </w:tc>
      </w:tr>
      <w:tr>
        <w:tc>
          <w:tcPr>
            <w:tcW w:type="dxa" w:w="7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N-10</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11111"/>
                <w:sz w:val="19"/>
                <w:szCs w:val="19"/>
              </w:rPr>
              <w:t xml:space="preserve">Service Area / Communities Served</w:t>
            </w:r>
          </w:p>
        </w:tc>
        <w:tc>
          <w:tcPr>
            <w:tcW w:type="dxa" w:w="4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lists 12 specific communities served beyond Fayetteville: Peachtree City, Tyrone, Brooks, Woolsey, Senoia, Newnan, Union City, Jonesboro, McDonough, Fairburn, Palmetto.</w:t>
            </w:r>
          </w:p>
        </w:tc>
        <w:tc>
          <w:tcPr>
            <w:tcW w:type="dxa" w:w="19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hyperlink w:history="1" r:id="rId_bjzejxregl9n1jk3dh9u">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2E7D52"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Content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Privacy Policy Page</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has a full privacy policy page (effective Sept 1 2015, reviewed 2026). Not present on current site.</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dr_beeayh_qmledpw0vsy">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Page</w:t>
            </w:r>
          </w:p>
        </w:tc>
      </w:tr>
      <w:tr>
        <w:tc>
          <w:tcPr>
            <w:tcW w:type="dxa" w:w="7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N-12</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11111"/>
                <w:sz w:val="19"/>
                <w:szCs w:val="19"/>
              </w:rPr>
              <w:t xml:space="preserve">Accessibility Statement Page</w:t>
            </w:r>
          </w:p>
        </w:tc>
        <w:tc>
          <w:tcPr>
            <w:tcW w:type="dxa" w:w="4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has a dedicated accessibility statement (WCAG 2.1 Level AA commitment, on-site physical accessibility detail). Not present on current site.</w:t>
            </w:r>
          </w:p>
        </w:tc>
        <w:tc>
          <w:tcPr>
            <w:tcW w:type="dxa" w:w="19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hyperlink w:history="1" r:id="rIdsx8fp_auktcikznawahan">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Page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N-13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Careers — Revised Application Process</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redirects applications to email (info@azaleaestatesfayetteville.com). Current site has an embedded form. Staging also mentions "general inquiry" option for unlisted roles.</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nwo4f7qwuzmxuwuskcpzz">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Changed Process</w:t>
            </w:r>
          </w:p>
        </w:tc>
      </w:tr>
      <w:tr>
        <w:tc>
          <w:tcPr>
            <w:tcW w:type="dxa" w:w="7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8"/>
                <w:szCs w:val="18"/>
              </w:rPr>
              <w:t xml:space="preserve">N-14</w:t>
            </w:r>
          </w:p>
        </w:tc>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11111"/>
                <w:sz w:val="19"/>
                <w:szCs w:val="19"/>
              </w:rPr>
              <w:t xml:space="preserve">360° Virtual Tour</w:t>
            </w:r>
          </w:p>
        </w:tc>
        <w:tc>
          <w:tcPr>
            <w:tcW w:type="dxa" w:w="428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8"/>
                <w:szCs w:val="18"/>
              </w:rPr>
              <w:t xml:space="preserve">Staging references an embedded interactive 360° virtual tour (contact page, gallery page). Not present on current site.</w:t>
            </w:r>
          </w:p>
        </w:tc>
        <w:tc>
          <w:tcPr>
            <w:tcW w:type="dxa" w:w="192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hyperlink w:history="1" r:id="rIdm4ufilbvckpxzwbzs7292">
              <w:r>
                <w:rPr>
                  <w:rFonts w:ascii="Arial" w:cs="Arial" w:eastAsia="Arial" w:hAnsi="Arial"/>
                  <w:color w:val="1565C0"/>
                  <w:sz w:val="17"/>
                  <w:szCs w:val="17"/>
                  <w:u w:val="single"/>
                </w:rPr>
                <w:t xml:space="preserve">View on staging →</w:t>
              </w:r>
            </w:hyperlink>
          </w:p>
        </w:tc>
        <w:tc>
          <w:tcPr>
            <w:tcW w:type="dxa" w:w="3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6"/>
                <w:szCs w:val="16"/>
              </w:rPr>
              <w:t xml:space="preserve">New Feature</w:t>
            </w:r>
          </w:p>
        </w:tc>
      </w:tr>
    </w:tbl>
    <w:p>
      <w:r>
        <w:br w:type="page"/>
      </w:r>
    </w:p>
    <w:p>
      <w:pPr>
        <w:pStyle w:val="Heading1"/>
      </w:pPr>
      <w:r>
        <w:rPr>
          <w:rFonts w:ascii="Arial" w:cs="Arial" w:eastAsia="Arial" w:hAnsi="Arial"/>
          <w:b/>
          <w:bCs/>
          <w:color w:val="1A4A2E"/>
          <w:sz w:val="36"/>
          <w:szCs w:val="36"/>
        </w:rPr>
        <w:t xml:space="preserve">Section 4 — Page Inventory Comparison</w:t>
      </w:r>
    </w:p>
    <w:p>
      <w:pPr>
        <w:spacing w:after="60" w:before="60"/>
      </w:pPr>
      <w:r>
        <w:rPr>
          <w:rFonts w:ascii="Arial" w:cs="Arial" w:eastAsia="Arial" w:hAnsi="Arial"/>
          <w:b w:val="false"/>
          <w:bCs w:val="false"/>
          <w:i w:val="false"/>
          <w:iCs w:val="false"/>
          <w:color w:val="555555"/>
          <w:sz w:val="20"/>
          <w:szCs w:val="20"/>
        </w:rPr>
        <w:t xml:space="preserve">A side-by-side map of all pages found on each site during the crawl.</w:t>
      </w:r>
    </w:p>
    <w:p>
      <w:pPr>
        <w:spacing w:after="100" w:before="10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rPr>
          <w:tblHeader/>
        </w:trPr>
        <w:tc>
          <w:tcPr>
            <w:tcW w:type="dxa" w:w="464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Current Site (12 pages)</w:t>
            </w:r>
          </w:p>
        </w:tc>
        <w:tc>
          <w:tcPr>
            <w:tcW w:type="dxa" w:w="4640"/>
            <w:tcBorders>
              <w:top w:val="single" w:color="CCCCCC" w:sz="1"/>
              <w:left w:val="single" w:color="CCCCCC" w:sz="1"/>
              <w:bottom w:val="single" w:color="CCCCCC" w:sz="1"/>
              <w:right w:val="single" w:color="CCCCCC" w:sz="1"/>
            </w:tcBorders>
            <w:shd w:fill="1A4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Staging Site (18 pages)</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 (Home)</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 (Home)</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/floor-plans/</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/floor-plans/</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/living-options/</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/living-options/</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/services-amenities/</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/living-options/independent-living/  ★ NEW</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/services-amenities/wellness/</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/living-options/assisted-living/  ★ NEW</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/services-amenities/dining/</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/living-options/respite-care/  ★ NEW</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/services-amenities/activities-events/</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/about/  ★ NEW</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/contact/meet-the-team/</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/team/</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/contact/careers/</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/careers/</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/contact/</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/contact/</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/videos/</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/videos/</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/photo-tour/</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/gallery/</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/wellness/</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/dining/</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19"/>
                <w:szCs w:val="19"/>
              </w:rPr>
              <w:t xml:space="preserve">/amenities/</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/calendar/  ★ NEW</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/schedule-a-tour/  ★ NEW</w:t>
            </w:r>
          </w:p>
        </w:tc>
      </w:tr>
      <w:tr>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/privacy/  ★ NEW</w:t>
            </w:r>
          </w:p>
        </w:tc>
      </w:tr>
      <w:tr>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w:t>
            </w:r>
          </w:p>
        </w:tc>
        <w:tc>
          <w:tcPr>
            <w:tcW w:type="dxa" w:w="464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A4A2E"/>
                <w:sz w:val="19"/>
                <w:szCs w:val="19"/>
              </w:rPr>
              <w:t xml:space="preserve">/accessibility/  ★ NEW</w:t>
            </w:r>
          </w:p>
        </w:tc>
      </w:tr>
    </w:tbl>
    <w:p>
      <w:pPr>
        <w:spacing w:after="100" w:before="100"/>
      </w:pPr>
      <w:r>
        <w:t xml:space="preserve"/>
      </w:r>
    </w:p>
    <w:p>
      <w:pPr>
        <w:spacing w:after="60" w:before="60"/>
      </w:pPr>
      <w:r>
        <w:rPr>
          <w:rFonts w:ascii="Arial" w:cs="Arial" w:eastAsia="Arial" w:hAnsi="Arial"/>
          <w:b/>
          <w:bCs/>
          <w:i w:val="false"/>
          <w:iCs w:val="false"/>
          <w:color w:val="2E7D52"/>
          <w:sz w:val="19"/>
          <w:szCs w:val="19"/>
        </w:rPr>
        <w:t xml:space="preserve">★ = net new page on staging not present on current site.</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6"/>
        <w:szCs w:val="16"/>
      </w:rPr>
      <w:t xml:space="preserve">CONFIDENTIAL — For internal review only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2E" w:sz="4" w:space="4"/>
      </w:pBdr>
      <w:tabs>
        <w:tab w:val="right" w:pos="13680"/>
      </w:tabs>
    </w:pPr>
    <w:r>
      <w:rPr>
        <w:rFonts w:ascii="Arial" w:cs="Arial" w:eastAsia="Arial" w:hAnsi="Arial"/>
        <w:b/>
        <w:bCs/>
        <w:color w:val="1A4A2E"/>
        <w:sz w:val="18"/>
        <w:szCs w:val="18"/>
      </w:rPr>
      <w:t xml:space="preserve">Azalea Estates — Site Content Audit  |  Current vs. Staging</w:t>
    </w:r>
    <w:r>
      <w:rPr>
        <w:rFonts w:ascii="Arial" w:cs="Arial" w:eastAsia="Arial" w:hAnsi="Arial"/>
        <w:color w:val="555555"/>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D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6pekggoqwfvhcbufwa_c" Type="http://schemas.openxmlformats.org/officeDocument/2006/relationships/hyperlink" Target="https://www.azaleaestatesfayetteville.com/floor-plans/" TargetMode="External"/><Relationship Id="rIdvrzw5-bvd4ulueey_fe86" Type="http://schemas.openxmlformats.org/officeDocument/2006/relationships/hyperlink" Target="https://autumglenaz.netlify.app/floor-plans/" TargetMode="External"/><Relationship Id="rIdfbxdffnblky4_qqxki3tr" Type="http://schemas.openxmlformats.org/officeDocument/2006/relationships/hyperlink" Target="https://www.azaleaestatesfayetteville.com/contact/careers/" TargetMode="External"/><Relationship Id="rIdkaimklznme7bf6vtjwxzf" Type="http://schemas.openxmlformats.org/officeDocument/2006/relationships/hyperlink" Target="https://autumglenaz.netlify.app/careers/" TargetMode="External"/><Relationship Id="rIdldnrdg6yrpr68-i366766" Type="http://schemas.openxmlformats.org/officeDocument/2006/relationships/hyperlink" Target="https://www.azaleaestatesfayetteville.com/floor-plans/" TargetMode="External"/><Relationship Id="rIdxtimgp8kjodrxczq1szjl" Type="http://schemas.openxmlformats.org/officeDocument/2006/relationships/hyperlink" Target="https://autumglenaz.netlify.app/floor-plans/" TargetMode="External"/><Relationship Id="rIdh0j7ypswznyokdlvftyqz" Type="http://schemas.openxmlformats.org/officeDocument/2006/relationships/hyperlink" Target="https://www.azaleaestatesfayetteville.com/services-amenities/activities-events/" TargetMode="External"/><Relationship Id="rIdbqjasgazcqtugtk1l6joj" Type="http://schemas.openxmlformats.org/officeDocument/2006/relationships/hyperlink" Target="https://autumglenaz.netlify.app/living-options/independent-living/" TargetMode="External"/><Relationship Id="rIdlcy7ncl3iti8rq9em4q2s" Type="http://schemas.openxmlformats.org/officeDocument/2006/relationships/hyperlink" Target="https://www.azaleaestatesfayetteville.com/services-amenities/dining/" TargetMode="External"/><Relationship Id="rIdr-ykcsp4gejpfue2yck02" Type="http://schemas.openxmlformats.org/officeDocument/2006/relationships/hyperlink" Target="https://autumglenaz.netlify.app/dining/" TargetMode="External"/><Relationship Id="rIdd1hm5fut5ncq3-3aiapwk" Type="http://schemas.openxmlformats.org/officeDocument/2006/relationships/hyperlink" Target="https://www.azaleaestatesfayetteville.com/contact/" TargetMode="External"/><Relationship Id="rIdgbypbzki37ptjepgu0xzc" Type="http://schemas.openxmlformats.org/officeDocument/2006/relationships/hyperlink" Target="https://autumglenaz.netlify.app/contact/" TargetMode="External"/><Relationship Id="rIdrmwg0r07r6zyzvkr3ix2x" Type="http://schemas.openxmlformats.org/officeDocument/2006/relationships/hyperlink" Target="https://www.azaleaestatesfayetteville.com/" TargetMode="External"/><Relationship Id="rIda7n7qlu0jdumqkmorgfyi" Type="http://schemas.openxmlformats.org/officeDocument/2006/relationships/hyperlink" Target="https://autumglenaz.netlify.app/about/" TargetMode="External"/><Relationship Id="rId0xgqr7cotzjrtebleq22x" Type="http://schemas.openxmlformats.org/officeDocument/2006/relationships/hyperlink" Target="https://www.azaleaestatesfayetteville.com/" TargetMode="External"/><Relationship Id="rIdzts0bavgl9n24xqstumhd" Type="http://schemas.openxmlformats.org/officeDocument/2006/relationships/hyperlink" Target="https://autumglenaz.netlify.app/" TargetMode="External"/><Relationship Id="rIdwhwvpiwhpge4olkxu5fwk" Type="http://schemas.openxmlformats.org/officeDocument/2006/relationships/hyperlink" Target="https://www.azaleaestatesfayetteville.com/videos/" TargetMode="External"/><Relationship Id="rIdb6ijvfwvjeinz_kbutsxe" Type="http://schemas.openxmlformats.org/officeDocument/2006/relationships/hyperlink" Target="https://autumglenaz.netlify.app/videos/" TargetMode="External"/><Relationship Id="rIdmdmc8hhibcx_dvvrwtbu_" Type="http://schemas.openxmlformats.org/officeDocument/2006/relationships/hyperlink" Target="https://www.azaleaestatesfayetteville.com/contact/meet-the-team/" TargetMode="External"/><Relationship Id="rIdr2ogzxaqa7-gmvj2ezevd" Type="http://schemas.openxmlformats.org/officeDocument/2006/relationships/hyperlink" Target="https://autumglenaz.netlify.app/team/" TargetMode="External"/><Relationship Id="rId_i3b-rnt9luygzxix_mrm" Type="http://schemas.openxmlformats.org/officeDocument/2006/relationships/hyperlink" Target="https://www.azaleaestatesfayetteville.com/services-amenities/wellness/" TargetMode="External"/><Relationship Id="rIdzo3qnvzytsy6hux0azidd" Type="http://schemas.openxmlformats.org/officeDocument/2006/relationships/hyperlink" Target="https://autumglenaz.netlify.app/wellness/" TargetMode="External"/><Relationship Id="rIdo6p27bhlxumpdddm7ioj4" Type="http://schemas.openxmlformats.org/officeDocument/2006/relationships/hyperlink" Target="https://www.azaleaestatesfayetteville.com/services-amenities/activities-events/" TargetMode="External"/><Relationship Id="rIdft4kdg3vxpc9twxkyxv2q" Type="http://schemas.openxmlformats.org/officeDocument/2006/relationships/hyperlink" Target="https://autumglenaz.netlify.app/calendar/" TargetMode="External"/><Relationship Id="rIdoza9hdgnpruyjr6e7y-1a" Type="http://schemas.openxmlformats.org/officeDocument/2006/relationships/hyperlink" Target="https://www.azaleaestatesfayetteville.com/services-amenities/wellness/" TargetMode="External"/><Relationship Id="rIdgbxefeutob6afv0pjsjpv" Type="http://schemas.openxmlformats.org/officeDocument/2006/relationships/hyperlink" Target="https://autumglenaz.netlify.app/wellness/" TargetMode="External"/><Relationship Id="rIdrlsmqoufoduik3kgsuja8" Type="http://schemas.openxmlformats.org/officeDocument/2006/relationships/hyperlink" Target="https://www.azaleaestatesfayetteville.com/" TargetMode="External"/><Relationship Id="rIdni3_u5nnoh7xi7ej2jg5i" Type="http://schemas.openxmlformats.org/officeDocument/2006/relationships/hyperlink" Target="https://www.azaleaestatesfayetteville.com/" TargetMode="External"/><Relationship Id="rIdmogfhddwknhxsobo5iwwx" Type="http://schemas.openxmlformats.org/officeDocument/2006/relationships/hyperlink" Target="https://autumglenaz.netlify.app/calendar/" TargetMode="External"/><Relationship Id="rId_feb-u1otkjpkkj4st-qa" Type="http://schemas.openxmlformats.org/officeDocument/2006/relationships/hyperlink" Target="https://www.azaleaestatesfayetteville.com/services-amenities/dining/" TargetMode="External"/><Relationship Id="rIdyhtt0oyjxkt9-9wxur6a7" Type="http://schemas.openxmlformats.org/officeDocument/2006/relationships/hyperlink" Target="https://autumglenaz.netlify.app/dining/" TargetMode="External"/><Relationship Id="rIdg4pxm0hbe_7d789bnr7ou" Type="http://schemas.openxmlformats.org/officeDocument/2006/relationships/hyperlink" Target="https://autumglenaz.netlify.app/about/" TargetMode="External"/><Relationship Id="rIdbvlmgwam8l2-twa1ujjie" Type="http://schemas.openxmlformats.org/officeDocument/2006/relationships/hyperlink" Target="https://autumglenaz.netlify.app/living-options/respite-care/" TargetMode="External"/><Relationship Id="rIdcqbcwp1be2xytj1gk2ekm" Type="http://schemas.openxmlformats.org/officeDocument/2006/relationships/hyperlink" Target="https://autumglenaz.netlify.app/living-options/assisted-living/" TargetMode="External"/><Relationship Id="rIdz0ppsed-_npbdwxmah5tz" Type="http://schemas.openxmlformats.org/officeDocument/2006/relationships/hyperlink" Target="https://autumglenaz.netlify.app/schedule-a-tour/" TargetMode="External"/><Relationship Id="rIdyb7qvsovze1lr-uzqdogl" Type="http://schemas.openxmlformats.org/officeDocument/2006/relationships/hyperlink" Target="https://autumglenaz.netlify.app/living-options/independent-living/" TargetMode="External"/><Relationship Id="rId0fswlzozvfwyimxvvcrnf" Type="http://schemas.openxmlformats.org/officeDocument/2006/relationships/hyperlink" Target="https://autumglenaz.netlify.app/contact/" TargetMode="External"/><Relationship Id="rIdih92vm0pnggf4633ompwj" Type="http://schemas.openxmlformats.org/officeDocument/2006/relationships/hyperlink" Target="https://autumglenaz.netlify.app/contact/" TargetMode="External"/><Relationship Id="rIdr2w3cj7igiixj1-ayfgan" Type="http://schemas.openxmlformats.org/officeDocument/2006/relationships/hyperlink" Target="https://autumglenaz.netlify.app/living-options/assisted-living/" TargetMode="External"/><Relationship Id="rId927jokiehimiwppge7e2m" Type="http://schemas.openxmlformats.org/officeDocument/2006/relationships/hyperlink" Target="https://autumglenaz.netlify.app/living-options/independent-living/" TargetMode="External"/><Relationship Id="rId_bjzejxregl9n1jk3dh9u" Type="http://schemas.openxmlformats.org/officeDocument/2006/relationships/hyperlink" Target="https://autumglenaz.netlify.app/contact/" TargetMode="External"/><Relationship Id="rIddr_beeayh_qmledpw0vsy" Type="http://schemas.openxmlformats.org/officeDocument/2006/relationships/hyperlink" Target="https://autumglenaz.netlify.app/privacy/" TargetMode="External"/><Relationship Id="rIdsx8fp_auktcikznawahan" Type="http://schemas.openxmlformats.org/officeDocument/2006/relationships/hyperlink" Target="https://autumglenaz.netlify.app/accessibility/" TargetMode="External"/><Relationship Id="rIdnwo4f7qwuzmxuwuskcpzz" Type="http://schemas.openxmlformats.org/officeDocument/2006/relationships/hyperlink" Target="https://autumglenaz.netlify.app/careers/" TargetMode="External"/><Relationship Id="rIdm4ufilbvckpxzwbzs7292" Type="http://schemas.openxmlformats.org/officeDocument/2006/relationships/hyperlink" Target="https://autumglenaz.netlify.app/gallery/" TargetMode="External"/><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2026-05-19T10:47:57.405Z</dcterms:created>
  <dcterms:modified xsi:type="dcterms:W3CDTF">2026-05-19T10:47:57.405Z</dcterms:modified>
</cp:coreProperties>
</file>

<file path=docProps/custom.xml><?xml version="1.0" encoding="utf-8"?>
<Properties xmlns="http://schemas.openxmlformats.org/officeDocument/2006/custom-properties" xmlns:vt="http://schemas.openxmlformats.org/officeDocument/2006/docPropsVTypes"/>
</file>