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color w:val="2563EB"/>
          <w:spacing w:val="100"/>
          <w:sz w:val="17"/>
          <w:szCs w:val="17"/>
        </w:rPr>
        <w:t xml:space="preserve">CASE STUDY  |  FRACTIONAL RECRUITING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EarthDaily Federal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3"/>
          <w:szCs w:val="23"/>
        </w:rPr>
        <w:t xml:space="preserve">What a monthly retainer engagement actually produces  </w:t>
      </w:r>
    </w:p>
    <w:p>
      <w:pPr>
        <w:pBdr>
          <w:bottom w:val="single" w:color="2563EB" w:sz="6" w:space="4"/>
        </w:pBd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80"/>
        <w:gridCol w:w="3020"/>
        <w:gridCol w:w="80"/>
        <w:gridCol w:w="3020"/>
        <w:gridCol w:w="1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$62,400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D4F5"/>
                <w:sz w:val="18"/>
                <w:szCs w:val="18"/>
              </w:rPr>
              <w:t xml:space="preserve">INVESTMENT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3B8E8"/>
                <w:sz w:val="16"/>
                <w:szCs w:val="16"/>
              </w:rPr>
              <w:t xml:space="preserve">4.5 months fractional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~$178K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D4F5"/>
                <w:sz w:val="18"/>
                <w:szCs w:val="18"/>
              </w:rPr>
              <w:t xml:space="preserve">FEES AVOIDED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3B8E8"/>
                <w:sz w:val="16"/>
                <w:szCs w:val="16"/>
              </w:rPr>
              <w:t xml:space="preserve">6 roles, no agency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~350%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FD4F5"/>
                <w:sz w:val="18"/>
                <w:szCs w:val="18"/>
              </w:rPr>
              <w:t xml:space="preserve">ROI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3B8E8"/>
                <w:sz w:val="16"/>
                <w:szCs w:val="16"/>
              </w:rPr>
              <w:t xml:space="preserve">growing as roles close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</w:tcPr>
          <w:p>
            <w:r>
              <w:t xml:space="preserve"/>
            </w:r>
          </w:p>
        </w:tc>
      </w:tr>
    </w:tbl>
    <w:p>
      <w:pPr>
        <w:spacing w:before="0" w:after="30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Fractional Recruiting Is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fractional Head of Talent embeds inside your company on a monthly retainer. They build your recruiting infrastructure, run your hiring process, and fill your open roles, without the overhead of a full-time hire and without the per-placement fees of an agency.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get a senior recruiting operator working inside your business. When the engagement ends, the system stays.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B8E8"/>
                <w:sz w:val="20"/>
                <w:szCs w:val="20"/>
              </w:rPr>
              <w:t xml:space="preserve">Agency / Contingent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Fractional (Rebel Talent)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Cost per hire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20-25% of salary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Flat monthly retainer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Institutional knowledge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Leaves with the recruiter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Stays with your company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Process ownership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Theirs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Candidate experience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Inconsistent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Standardized across roles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Infrastructure built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ATS, SOPs, pipelines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you own at the 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 hire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 recruiting function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The Engagement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EarthDaily Federal is a geospatial intelligence company operating in the federal/defense space. They came in with no recruiting infrastructure, no documented process, and no ATS. Every hire was founder-led or agency-dependent.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Rebel Talent Systems embedded as fractional Head of Talent on a monthly retainer. The scope: build the function from scratch, fill critical roles across engineering, finance, and sales, and leave the company with a system it owns.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Time commitment: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30 hours/week for the first 3 months, 20 hours/week for the final 1.5 months. Total: 520 hours over 4.5 months.</w:t>
      </w:r>
    </w:p>
    <w:p>
      <w:pPr>
        <w:spacing w:before="0" w:after="30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Was Built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Infrastructure delivered during the engagement: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ATS deployed with clearance tracking, AI-powered candidate scoring, and fraud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Recruiting OS with SOPs covering every stage of the hiring lifecycle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Sourcing playbooks built by role type and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 frameworks and scorecards for hiring managers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candidate pipelines maintained across all open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Hiring process documentation aligned with leadership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All of this stays with EDF after the engagement closes. The next person to run recruiting inherits a working function, not a blank page.</w:t>
      </w:r>
    </w:p>
    <w:p>
      <w:pPr>
        <w:spacing w:before="0" w:after="30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Roles Placed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Six roles placed across engineering, IT, and finance in 4.5 months. Three sales roles are in active evaluation.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27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Fee Avoided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Engineer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~$30,800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22% on ~$140K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Engineer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~$28,600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22% on ~$130K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IT Manager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~$26,400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22% on ~$120K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~$30,800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22% on ~$140K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Contractor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~$13,500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15% on ~$90K equiv.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Contractor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~$13,500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15% on ~$90K equiv.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TOTAL AVOIDED (6 roles closed)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~$143,600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+$72-135K projected on 3 sales roles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The Math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total cost of the fractional engagement was $62,400 across 520 hours. Agency fees avoided on the six closed roles total approximately $143,600. That is a ~350% return before the three sales roles close.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the sales roles close at standard rates of 20-25% on OTEs in the $120-180K range, total avoided fees will reach $215-278K. Infrastructure value (ATS, SOPs, pipelines) adds another $15-25K that compounds over every future hire.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Projected full-engagement ROI: 400-500%+</w:t>
      </w:r>
    </w:p>
    <w:p>
      <w:pPr>
        <w:spacing w:before="0" w:after="30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the Engagement Model Works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Fractional recruiting engagements are structured as monthly retainers with a defined weekly hour commitment. The model is built for companies that need senior recruiting leadership but are not ready for or do not want a full-time internal hire.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Typical engagements run 3 to 6 months with defined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Retainer is paid monthly against a set weekly hour commitment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work product, documentation, and systems remain with the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Engagements can scale up or down as hiring needs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Exit is clean. The system runs without the fractional in place</w:t>
      </w:r>
    </w:p>
    <w:p>
      <w:pPr>
        <w:spacing w:before="0" w:after="300"/>
      </w:pPr>
      <w:r>
        <w:t xml:space="preserve"/>
      </w:r>
    </w:p>
    <w:p>
      <w:pPr>
        <w:pBdr>
          <w:top w:val="single" w:color="D1D5DB" w:sz="4" w:space="4"/>
        </w:pBdr>
        <w:spacing w:before="16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Richie Lampani  |  Rebel Talent Systems  |  rebeltalentsystems.com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2026-03-04T15:32:57.384Z</dcterms:created>
  <dcterms:modified xsi:type="dcterms:W3CDTF">2026-03-04T15:32:57.386Z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