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AAA1" w14:textId="77777777" w:rsidR="00D66E69" w:rsidRDefault="00000000">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Manuscript:</w:t>
      </w:r>
      <w:r>
        <w:rPr>
          <w:rFonts w:asciiTheme="majorHAnsi" w:eastAsia="Times New Roman" w:hAnsiTheme="majorHAnsi" w:cstheme="majorHAnsi"/>
          <w:sz w:val="24"/>
          <w:szCs w:val="24"/>
          <w:lang w:val="en-GB" w:eastAsia="en-GB"/>
        </w:rPr>
        <w:t xml:space="preserve"> </w:t>
      </w:r>
      <w:r>
        <w:rPr>
          <w:rFonts w:asciiTheme="majorHAnsi" w:eastAsia="Times New Roman" w:hAnsiTheme="majorHAnsi" w:cstheme="majorHAnsi"/>
          <w:i/>
          <w:iCs/>
          <w:sz w:val="24"/>
          <w:szCs w:val="24"/>
          <w:lang w:val="en-GB" w:eastAsia="en-GB"/>
        </w:rPr>
        <w:t>Splenectomy increases CTEPH risk and modifies clinical features of acute pulmonary embolism</w:t>
      </w:r>
      <w:r>
        <w:rPr>
          <w:rFonts w:asciiTheme="majorHAnsi" w:eastAsia="Times New Roman" w:hAnsiTheme="majorHAnsi" w:cstheme="majorHAnsi"/>
          <w:sz w:val="24"/>
          <w:szCs w:val="24"/>
          <w:lang w:val="en-GB" w:eastAsia="en-GB"/>
        </w:rPr>
        <w:br/>
      </w:r>
    </w:p>
    <w:p w14:paraId="20AB9DD5" w14:textId="77777777" w:rsidR="00D66E69" w:rsidRDefault="00000000">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sz w:val="24"/>
          <w:szCs w:val="24"/>
          <w:lang w:val="en-GB" w:eastAsia="en-GB"/>
        </w:rPr>
        <w:t>The authors present two related sub-studies examining the association between splenectomy, pulmonary embolism (PE), and chronic thromboembolic pulmonary hypertension (CTEPH).</w:t>
      </w:r>
      <w:r>
        <w:rPr>
          <w:rFonts w:asciiTheme="majorHAnsi" w:eastAsia="Times New Roman" w:hAnsiTheme="majorHAnsi" w:cstheme="majorHAnsi"/>
          <w:sz w:val="24"/>
          <w:szCs w:val="24"/>
          <w:lang w:val="en-GB" w:eastAsia="en-GB"/>
        </w:rPr>
        <w:br/>
        <w:t xml:space="preserve">The concept that splenectomy may increase CTEPH risk through mechanisms beyond general venous thromboembolism (VTE) has been previously proposed (e.g., Zhang et al., </w:t>
      </w:r>
      <w:r>
        <w:rPr>
          <w:rFonts w:asciiTheme="majorHAnsi" w:eastAsia="Times New Roman" w:hAnsiTheme="majorHAnsi" w:cstheme="majorHAnsi"/>
          <w:i/>
          <w:iCs/>
          <w:sz w:val="24"/>
          <w:szCs w:val="24"/>
          <w:lang w:val="en-GB" w:eastAsia="en-GB"/>
        </w:rPr>
        <w:t>BMJ Open</w:t>
      </w:r>
      <w:r>
        <w:rPr>
          <w:rFonts w:asciiTheme="majorHAnsi" w:eastAsia="Times New Roman" w:hAnsiTheme="majorHAnsi" w:cstheme="majorHAnsi"/>
          <w:sz w:val="24"/>
          <w:szCs w:val="24"/>
          <w:lang w:val="en-GB" w:eastAsia="en-GB"/>
        </w:rPr>
        <w:t xml:space="preserve"> 2021), but this work adds new clinical detail regarding acute PE characteristics and their possible mechanistic link to later CTEPH. Substudy 1 is a case-control (four arms) that compared the frequency of prior splenectomy among patients with CTEPH, all-comer PE, unprovoked PE (defined as absence of transient risk factors), and controls without PE. Splenectomy was significantly more frequent in CTEPH patients than in any comparator group. Substudy 2 is a  matched cohort comparing clinical and imaging features of acute PE in hospitalized patients with and without prior splenectomy. Severity indices (PESI), biomarkers, RV/LV ratio, and clot burden were largely similar. Patients with splenectomy showed longer symptom duration, fewer concurrent DVTs, and more distal PE—but only after adjustment for age, sex, and BMI. Two of 40 splenectomy patients (5%) were subsequently diagnosed with CTEPH versus 0 of 100 controls.</w:t>
      </w:r>
    </w:p>
    <w:p w14:paraId="72D2C8D2" w14:textId="77777777" w:rsidR="00D66E69" w:rsidRDefault="00000000">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7"/>
          <w:szCs w:val="27"/>
          <w:lang w:val="en-GB" w:eastAsia="en-GB"/>
        </w:rPr>
        <w:t>Comments</w:t>
      </w:r>
    </w:p>
    <w:p w14:paraId="1B6F1554" w14:textId="77777777" w:rsidR="00D66E69" w:rsidRDefault="00000000">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1. Study design and structure</w:t>
      </w:r>
      <w:r>
        <w:rPr>
          <w:rFonts w:asciiTheme="majorHAnsi" w:eastAsia="Times New Roman" w:hAnsiTheme="majorHAnsi" w:cstheme="majorHAnsi"/>
          <w:sz w:val="24"/>
          <w:szCs w:val="24"/>
          <w:lang w:val="en-GB" w:eastAsia="en-GB"/>
        </w:rPr>
        <w:br/>
        <w:t>The dual-study approach results in a somewhat cumbersome presentation. Each substudy addresses a distinct question with different base populations and time frames, which makes transitions between them hard to follow. The relationship between the two analyses is clear, but the jumping between datasets could be smoothed for readability. Clarifying why different time frames were selected for the four groups in Substudy 1 would also help readers assess comparability and interpret the data more confidently.</w:t>
      </w:r>
    </w:p>
    <w:p w14:paraId="0F9206DE" w14:textId="77777777" w:rsidR="00D66E69" w:rsidRDefault="00000000">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2. Terminology (provoked vs unprovoked PE)</w:t>
      </w:r>
      <w:r>
        <w:rPr>
          <w:rFonts w:asciiTheme="majorHAnsi" w:eastAsia="Times New Roman" w:hAnsiTheme="majorHAnsi" w:cstheme="majorHAnsi"/>
          <w:sz w:val="24"/>
          <w:szCs w:val="24"/>
          <w:lang w:val="en-GB" w:eastAsia="en-GB"/>
        </w:rPr>
        <w:br/>
        <w:t xml:space="preserve">In Substudy 1, “unprovoked PE” is defined as the absence of </w:t>
      </w:r>
      <w:r>
        <w:rPr>
          <w:rFonts w:asciiTheme="majorHAnsi" w:eastAsia="Times New Roman" w:hAnsiTheme="majorHAnsi" w:cstheme="majorHAnsi"/>
          <w:i/>
          <w:iCs/>
          <w:sz w:val="24"/>
          <w:szCs w:val="24"/>
          <w:lang w:val="en-GB" w:eastAsia="en-GB"/>
        </w:rPr>
        <w:t>transient</w:t>
      </w:r>
      <w:r>
        <w:rPr>
          <w:rFonts w:asciiTheme="majorHAnsi" w:eastAsia="Times New Roman" w:hAnsiTheme="majorHAnsi" w:cstheme="majorHAnsi"/>
          <w:sz w:val="24"/>
          <w:szCs w:val="24"/>
          <w:lang w:val="en-GB" w:eastAsia="en-GB"/>
        </w:rPr>
        <w:t xml:space="preserve"> risk factors, which results in the inclusion of patients with prior splenectomy in this category. However, according to current guidelines, a venous thromboembolism can be provoked either by a transient or by a persistent (chronic) risk factor. While these guidelines do not explicitly mention splenectomy, accumulating evidence indicates that it confers a long-term prothrombotic tendency. Therefore, PEs occurring after splenectomy might be considered provoked by a persistent risk factor, rather than truly unprovoked. Clarifying this terminology would better align the manuscript with contemporary definitions that distinguish between </w:t>
      </w:r>
      <w:r>
        <w:rPr>
          <w:rFonts w:asciiTheme="majorHAnsi" w:eastAsia="Times New Roman" w:hAnsiTheme="majorHAnsi" w:cstheme="majorHAnsi"/>
          <w:i/>
          <w:iCs/>
          <w:sz w:val="24"/>
          <w:szCs w:val="24"/>
          <w:lang w:val="en-GB" w:eastAsia="en-GB"/>
        </w:rPr>
        <w:t>transiently provoked</w:t>
      </w:r>
      <w:r>
        <w:rPr>
          <w:rFonts w:asciiTheme="majorHAnsi" w:eastAsia="Times New Roman" w:hAnsiTheme="majorHAnsi" w:cstheme="majorHAnsi"/>
          <w:sz w:val="24"/>
          <w:szCs w:val="24"/>
          <w:lang w:val="en-GB" w:eastAsia="en-GB"/>
        </w:rPr>
        <w:t xml:space="preserve">, </w:t>
      </w:r>
      <w:r>
        <w:rPr>
          <w:rFonts w:asciiTheme="majorHAnsi" w:eastAsia="Times New Roman" w:hAnsiTheme="majorHAnsi" w:cstheme="majorHAnsi"/>
          <w:i/>
          <w:iCs/>
          <w:sz w:val="24"/>
          <w:szCs w:val="24"/>
          <w:lang w:val="en-GB" w:eastAsia="en-GB"/>
        </w:rPr>
        <w:t>persistently provoked</w:t>
      </w:r>
      <w:r>
        <w:rPr>
          <w:rFonts w:asciiTheme="majorHAnsi" w:eastAsia="Times New Roman" w:hAnsiTheme="majorHAnsi" w:cstheme="majorHAnsi"/>
          <w:sz w:val="24"/>
          <w:szCs w:val="24"/>
          <w:lang w:val="en-GB" w:eastAsia="en-GB"/>
        </w:rPr>
        <w:t xml:space="preserve">, and </w:t>
      </w:r>
      <w:r>
        <w:rPr>
          <w:rFonts w:asciiTheme="majorHAnsi" w:eastAsia="Times New Roman" w:hAnsiTheme="majorHAnsi" w:cstheme="majorHAnsi"/>
          <w:i/>
          <w:iCs/>
          <w:sz w:val="24"/>
          <w:szCs w:val="24"/>
          <w:lang w:val="en-GB" w:eastAsia="en-GB"/>
        </w:rPr>
        <w:t>unprovoked</w:t>
      </w:r>
      <w:r>
        <w:rPr>
          <w:rFonts w:asciiTheme="majorHAnsi" w:eastAsia="Times New Roman" w:hAnsiTheme="majorHAnsi" w:cstheme="majorHAnsi"/>
          <w:sz w:val="24"/>
          <w:szCs w:val="24"/>
          <w:lang w:val="en-GB" w:eastAsia="en-GB"/>
        </w:rPr>
        <w:t xml:space="preserve"> events.</w:t>
      </w:r>
    </w:p>
    <w:p w14:paraId="701E33D5" w14:textId="77777777" w:rsidR="00D66E69" w:rsidRDefault="00000000">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3. Interpretation of findings (Substudy 2)</w:t>
      </w:r>
      <w:r>
        <w:rPr>
          <w:rFonts w:asciiTheme="majorHAnsi" w:eastAsia="Times New Roman" w:hAnsiTheme="majorHAnsi" w:cstheme="majorHAnsi"/>
          <w:sz w:val="24"/>
          <w:szCs w:val="24"/>
          <w:lang w:val="en-GB" w:eastAsia="en-GB"/>
        </w:rPr>
        <w:br/>
        <w:t xml:space="preserve">Part 2 yields modest differences; the majority of physiologic and imaging parameters were similar between groups, suggesting largely comparable PE presentations with only small phenotypic </w:t>
      </w:r>
      <w:r>
        <w:rPr>
          <w:rFonts w:asciiTheme="majorHAnsi" w:eastAsia="Times New Roman" w:hAnsiTheme="majorHAnsi" w:cstheme="majorHAnsi"/>
          <w:sz w:val="24"/>
          <w:szCs w:val="24"/>
          <w:lang w:val="en-GB" w:eastAsia="en-GB"/>
        </w:rPr>
        <w:lastRenderedPageBreak/>
        <w:t>variations. Describing the results as “largely similar with minor differences” would be accurate and balanced.</w:t>
      </w:r>
    </w:p>
    <w:p w14:paraId="51B773A1" w14:textId="77777777" w:rsidR="00D66E69" w:rsidRDefault="00000000">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4. Phrasing of exposure vs outcome</w:t>
      </w:r>
      <w:r>
        <w:rPr>
          <w:rFonts w:asciiTheme="majorHAnsi" w:eastAsia="Times New Roman" w:hAnsiTheme="majorHAnsi" w:cstheme="majorHAnsi"/>
          <w:sz w:val="24"/>
          <w:szCs w:val="24"/>
          <w:lang w:val="en-GB" w:eastAsia="en-GB"/>
        </w:rPr>
        <w:br/>
        <w:t>The Discussion states that “</w:t>
      </w:r>
      <w:r>
        <w:rPr>
          <w:rFonts w:asciiTheme="majorHAnsi" w:eastAsia="Times New Roman" w:hAnsiTheme="majorHAnsi" w:cstheme="majorHAnsi"/>
          <w:i/>
          <w:iCs/>
          <w:sz w:val="24"/>
          <w:szCs w:val="24"/>
          <w:lang w:val="en-GB" w:eastAsia="en-GB"/>
        </w:rPr>
        <w:t>the odds of a prior splenectomy are higher in patients with CTEPH than in patients with acute PE</w:t>
      </w:r>
      <w:r>
        <w:rPr>
          <w:rFonts w:asciiTheme="majorHAnsi" w:eastAsia="Times New Roman" w:hAnsiTheme="majorHAnsi" w:cstheme="majorHAnsi"/>
          <w:sz w:val="24"/>
          <w:szCs w:val="24"/>
          <w:lang w:val="en-GB" w:eastAsia="en-GB"/>
        </w:rPr>
        <w:t>.” While statistically correct, this phrasing can be misread as implying splenectomy is an outcome rather than a pre-existing exposure. The sentence should be rephrased.</w:t>
      </w:r>
    </w:p>
    <w:p w14:paraId="05DBCE12" w14:textId="77777777" w:rsidR="00D66E69" w:rsidRDefault="00000000">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4"/>
          <w:szCs w:val="24"/>
          <w:lang w:val="en-GB" w:eastAsia="en-GB"/>
        </w:rPr>
        <w:t>5. Radiologic reassessment suggestion</w:t>
      </w:r>
      <w:r>
        <w:rPr>
          <w:rFonts w:asciiTheme="majorHAnsi" w:eastAsia="Times New Roman" w:hAnsiTheme="majorHAnsi" w:cstheme="majorHAnsi"/>
          <w:sz w:val="24"/>
          <w:szCs w:val="24"/>
          <w:lang w:val="en-GB" w:eastAsia="en-GB"/>
        </w:rPr>
        <w:br/>
        <w:t>The authors propose that “</w:t>
      </w:r>
      <w:r>
        <w:rPr>
          <w:rFonts w:asciiTheme="majorHAnsi" w:eastAsia="Times New Roman" w:hAnsiTheme="majorHAnsi" w:cstheme="majorHAnsi"/>
          <w:i/>
          <w:iCs/>
          <w:sz w:val="24"/>
          <w:szCs w:val="24"/>
          <w:lang w:val="en-GB" w:eastAsia="en-GB"/>
        </w:rPr>
        <w:t>splenectomy may increase the likelihood that CTEPH was already present at the patient’s index PE presentation.</w:t>
      </w:r>
      <w:r>
        <w:rPr>
          <w:rFonts w:asciiTheme="majorHAnsi" w:eastAsia="Times New Roman" w:hAnsiTheme="majorHAnsi" w:cstheme="majorHAnsi"/>
          <w:sz w:val="24"/>
          <w:szCs w:val="24"/>
          <w:lang w:val="en-GB" w:eastAsia="en-GB"/>
        </w:rPr>
        <w:t xml:space="preserve">” To reinforce this hypothesis, the authors might consider a retrospective review of initial CTPA scans for the established six radiologic signs of CTEPH, as suggested for example in </w:t>
      </w:r>
      <w:r>
        <w:rPr>
          <w:rFonts w:asciiTheme="majorHAnsi" w:eastAsia="Times New Roman" w:hAnsiTheme="majorHAnsi" w:cstheme="majorHAnsi"/>
          <w:i/>
          <w:iCs/>
          <w:sz w:val="24"/>
          <w:szCs w:val="24"/>
          <w:lang w:val="en-GB" w:eastAsia="en-GB"/>
        </w:rPr>
        <w:t>European Radiology</w:t>
      </w:r>
      <w:r>
        <w:rPr>
          <w:rFonts w:asciiTheme="majorHAnsi" w:eastAsia="Times New Roman" w:hAnsiTheme="majorHAnsi" w:cstheme="majorHAnsi"/>
          <w:sz w:val="24"/>
          <w:szCs w:val="24"/>
          <w:lang w:val="en-GB" w:eastAsia="en-GB"/>
        </w:rPr>
        <w:t xml:space="preserve"> 2021 (DOI 10.1007/s00330-021-08364-0) or the InShape IV study. Such an analysis could clarify whether features of chronic disease were already visible at the time of the index PE.</w:t>
      </w:r>
    </w:p>
    <w:p w14:paraId="5C7D2F33" w14:textId="77777777" w:rsidR="00D66E69" w:rsidRDefault="00000000">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b/>
          <w:bCs/>
          <w:sz w:val="27"/>
          <w:szCs w:val="27"/>
          <w:lang w:val="en-GB" w:eastAsia="en-GB"/>
        </w:rPr>
        <w:t>Overall Assessment</w:t>
      </w:r>
    </w:p>
    <w:p w14:paraId="4988AD3D" w14:textId="77777777" w:rsidR="00D66E69" w:rsidRDefault="00000000">
      <w:pPr>
        <w:spacing w:before="100" w:beforeAutospacing="1" w:after="100" w:afterAutospacing="1" w:line="240" w:lineRule="auto"/>
        <w:rPr>
          <w:rFonts w:asciiTheme="majorHAnsi" w:eastAsia="Times New Roman" w:hAnsiTheme="majorHAnsi" w:cstheme="majorHAnsi"/>
          <w:sz w:val="24"/>
          <w:szCs w:val="24"/>
          <w:lang w:val="en-GB" w:eastAsia="en-GB"/>
        </w:rPr>
      </w:pPr>
      <w:r>
        <w:rPr>
          <w:rFonts w:asciiTheme="majorHAnsi" w:eastAsia="Times New Roman" w:hAnsiTheme="majorHAnsi" w:cstheme="majorHAnsi"/>
          <w:sz w:val="24"/>
          <w:szCs w:val="24"/>
          <w:lang w:val="en-GB" w:eastAsia="en-GB"/>
        </w:rPr>
        <w:t>This is a carefully executed and clinically relevant study that strengthens the association between splenectomy and subsequent CTEPH while exploring possible differences in acute PE phenotype. The main findings are sound and timely, though clarity would improve by refining risk-factor terminology, simplifying transitions between substudies, and contextualizing novelty relative to prior publications. With these revisions, the paper would provide an even more coherent and valuable contribution to understanding post-splenectomy pulmonary vascular disease.</w:t>
      </w:r>
    </w:p>
    <w:p w14:paraId="1B6AE4B7" w14:textId="77777777" w:rsidR="00D66E69" w:rsidRDefault="00D66E69">
      <w:pPr>
        <w:rPr>
          <w:rFonts w:asciiTheme="majorHAnsi" w:hAnsiTheme="majorHAnsi" w:cstheme="majorHAnsi"/>
          <w:lang w:val="en-GB"/>
        </w:rPr>
      </w:pPr>
    </w:p>
    <w:sectPr w:rsidR="00D66E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E69"/>
    <w:rsid w:val="004A00F1"/>
    <w:rsid w:val="0077792D"/>
    <w:rsid w:val="008614AB"/>
    <w:rsid w:val="008F11C4"/>
    <w:rsid w:val="00D66E6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8CA4D"/>
  <w15:chartTrackingRefBased/>
  <w15:docId w15:val="{168D527B-58D1-4549-B203-8ECA3488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aliases w:val="Heading 3 Char"/>
    <w:basedOn w:val="Normal"/>
    <w:link w:val="Heading3Char1"/>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1">
    <w:name w:val="Heading 3 Char1"/>
    <w:aliases w:val="Heading 3 Char Char"/>
    <w:basedOn w:val="DefaultParagraphFont"/>
    <w:link w:val="Heading3"/>
    <w:uiPriority w:val="9"/>
    <w:rPr>
      <w:rFonts w:ascii="Times New Roman" w:eastAsia="Times New Roman" w:hAnsi="Times New Roman" w:cs="Times New Roman"/>
      <w:b/>
      <w:bCs/>
      <w:sz w:val="27"/>
      <w:szCs w:val="27"/>
      <w:lang w:val="en-GB" w:eastAsia="en-GB"/>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relative">
    <w:name w:val="relative"/>
    <w:basedOn w:val="DefaultParagraphFont"/>
  </w:style>
  <w:style w:type="paragraph" w:customStyle="1" w:styleId="not-prose">
    <w:name w:val="not-prose"/>
    <w:basedOn w:val="Normal"/>
    <w:pPr>
      <w:spacing w:before="100" w:beforeAutospacing="1" w:after="100" w:afterAutospacing="1" w:line="240" w:lineRule="auto"/>
    </w:pPr>
    <w:rPr>
      <w:rFonts w:ascii="Times New Roman" w:eastAsia="Times New Roman" w:hAnsi="Times New Roman" w:cs="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679</Words>
  <Characters>3875</Characters>
  <Application>Microsoft Office Word</Application>
  <DocSecurity>0</DocSecurity>
  <Lines>32</Lines>
  <Paragraphs>9</Paragraphs>
  <ScaleCrop>false</ScaleCrop>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Locke</cp:lastModifiedBy>
  <cp:revision>2</cp:revision>
  <dcterms:created xsi:type="dcterms:W3CDTF">2025-11-15T00:52:00Z</dcterms:created>
  <dcterms:modified xsi:type="dcterms:W3CDTF">2025-11-15T00:52:00Z</dcterms:modified>
</cp:coreProperties>
</file>