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6A646" w14:textId="77777777" w:rsidR="00EC49DC" w:rsidRDefault="002E6C1D">
      <w:pPr>
        <w:spacing w:before="100" w:beforeAutospacing="1" w:after="100" w:afterAutospacing="1" w:line="240" w:lineRule="auto"/>
        <w:rPr>
          <w:rFonts w:asciiTheme="majorHAnsi" w:eastAsia="Times New Roman" w:hAnsiTheme="majorHAnsi" w:cstheme="majorHAnsi"/>
          <w:sz w:val="24"/>
          <w:szCs w:val="24"/>
          <w:lang w:val="en-GB" w:eastAsia="en-GB"/>
        </w:rPr>
      </w:pPr>
      <w:r>
        <w:rPr>
          <w:rFonts w:asciiTheme="majorHAnsi" w:eastAsia="Times New Roman" w:hAnsiTheme="majorHAnsi" w:cstheme="majorHAnsi"/>
          <w:b/>
          <w:bCs/>
          <w:sz w:val="24"/>
          <w:szCs w:val="24"/>
          <w:lang w:val="en-GB" w:eastAsia="en-GB"/>
        </w:rPr>
        <w:t>Manuscript:</w:t>
      </w:r>
      <w:r>
        <w:rPr>
          <w:rFonts w:asciiTheme="majorHAnsi" w:eastAsia="Times New Roman" w:hAnsiTheme="majorHAnsi" w:cstheme="majorHAnsi"/>
          <w:sz w:val="24"/>
          <w:szCs w:val="24"/>
          <w:lang w:val="en-GB" w:eastAsia="en-GB"/>
        </w:rPr>
        <w:t xml:space="preserve"> </w:t>
      </w:r>
      <w:r>
        <w:rPr>
          <w:rFonts w:asciiTheme="majorHAnsi" w:eastAsia="Times New Roman" w:hAnsiTheme="majorHAnsi" w:cstheme="majorHAnsi"/>
          <w:i/>
          <w:iCs/>
          <w:sz w:val="24"/>
          <w:szCs w:val="24"/>
          <w:lang w:val="en-GB" w:eastAsia="en-GB"/>
        </w:rPr>
        <w:t>Splenectomy increases CTEPH risk and modifies clinical features of acute pulmonary embolism</w:t>
      </w:r>
      <w:r>
        <w:rPr>
          <w:rFonts w:asciiTheme="majorHAnsi" w:eastAsia="Times New Roman" w:hAnsiTheme="majorHAnsi" w:cstheme="majorHAnsi"/>
          <w:sz w:val="24"/>
          <w:szCs w:val="24"/>
          <w:lang w:val="en-GB" w:eastAsia="en-GB"/>
        </w:rPr>
        <w:br/>
      </w:r>
    </w:p>
    <w:p w14:paraId="08259BD5" w14:textId="77777777" w:rsidR="00EC49DC" w:rsidRDefault="002E6C1D">
      <w:pPr>
        <w:spacing w:before="100" w:beforeAutospacing="1" w:after="100" w:afterAutospacing="1" w:line="240" w:lineRule="auto"/>
        <w:rPr>
          <w:rFonts w:asciiTheme="majorHAnsi" w:eastAsia="Times New Roman" w:hAnsiTheme="majorHAnsi" w:cstheme="majorHAnsi"/>
          <w:sz w:val="24"/>
          <w:szCs w:val="24"/>
          <w:lang w:val="en-GB" w:eastAsia="en-GB"/>
        </w:rPr>
      </w:pPr>
      <w:r>
        <w:rPr>
          <w:rFonts w:asciiTheme="majorHAnsi" w:eastAsia="Times New Roman" w:hAnsiTheme="majorHAnsi" w:cstheme="majorHAnsi"/>
          <w:sz w:val="24"/>
          <w:szCs w:val="24"/>
          <w:lang w:val="en-GB" w:eastAsia="en-GB"/>
        </w:rPr>
        <w:t>The authors present two related sub-studies examining the association between splenectomy, pulmonary embolism (PE), and chronic thromboembolic pulmonary hypertension (CTEPH).</w:t>
      </w:r>
      <w:r>
        <w:rPr>
          <w:rFonts w:asciiTheme="majorHAnsi" w:eastAsia="Times New Roman" w:hAnsiTheme="majorHAnsi" w:cstheme="majorHAnsi"/>
          <w:sz w:val="24"/>
          <w:szCs w:val="24"/>
          <w:lang w:val="en-GB" w:eastAsia="en-GB"/>
        </w:rPr>
        <w:br/>
        <w:t xml:space="preserve">The concept that splenectomy may increase CTEPH risk through mechanisms beyond general venous thromboembolism (VTE) has been previously proposed (e.g., Zhang et al., </w:t>
      </w:r>
      <w:r>
        <w:rPr>
          <w:rFonts w:asciiTheme="majorHAnsi" w:eastAsia="Times New Roman" w:hAnsiTheme="majorHAnsi" w:cstheme="majorHAnsi"/>
          <w:i/>
          <w:iCs/>
          <w:sz w:val="24"/>
          <w:szCs w:val="24"/>
          <w:lang w:val="en-GB" w:eastAsia="en-GB"/>
        </w:rPr>
        <w:t>BMJ Open</w:t>
      </w:r>
      <w:r>
        <w:rPr>
          <w:rFonts w:asciiTheme="majorHAnsi" w:eastAsia="Times New Roman" w:hAnsiTheme="majorHAnsi" w:cstheme="majorHAnsi"/>
          <w:sz w:val="24"/>
          <w:szCs w:val="24"/>
          <w:lang w:val="en-GB" w:eastAsia="en-GB"/>
        </w:rPr>
        <w:t xml:space="preserve"> 2021), but this work adds new clinical detail regarding acute PE characteristics and their possible mechanistic link to later CTEPH. </w:t>
      </w:r>
      <w:proofErr w:type="spellStart"/>
      <w:r>
        <w:rPr>
          <w:rFonts w:asciiTheme="majorHAnsi" w:eastAsia="Times New Roman" w:hAnsiTheme="majorHAnsi" w:cstheme="majorHAnsi"/>
          <w:sz w:val="24"/>
          <w:szCs w:val="24"/>
          <w:lang w:val="en-GB" w:eastAsia="en-GB"/>
        </w:rPr>
        <w:t>Substudy</w:t>
      </w:r>
      <w:proofErr w:type="spellEnd"/>
      <w:r>
        <w:rPr>
          <w:rFonts w:asciiTheme="majorHAnsi" w:eastAsia="Times New Roman" w:hAnsiTheme="majorHAnsi" w:cstheme="majorHAnsi"/>
          <w:sz w:val="24"/>
          <w:szCs w:val="24"/>
          <w:lang w:val="en-GB" w:eastAsia="en-GB"/>
        </w:rPr>
        <w:t xml:space="preserve"> 1 is a case-control (four arms) that compared the frequency of prior splenectomy among patients with CTEPH, all-comer PE, unprovoked PE (defined as absence of transient risk factors), and controls without PE. Splenectomy was significantly more frequent in CTEPH patients than in any comparator group. </w:t>
      </w:r>
      <w:proofErr w:type="spellStart"/>
      <w:r>
        <w:rPr>
          <w:rFonts w:asciiTheme="majorHAnsi" w:eastAsia="Times New Roman" w:hAnsiTheme="majorHAnsi" w:cstheme="majorHAnsi"/>
          <w:sz w:val="24"/>
          <w:szCs w:val="24"/>
          <w:lang w:val="en-GB" w:eastAsia="en-GB"/>
        </w:rPr>
        <w:t>Substudy</w:t>
      </w:r>
      <w:proofErr w:type="spellEnd"/>
      <w:r>
        <w:rPr>
          <w:rFonts w:asciiTheme="majorHAnsi" w:eastAsia="Times New Roman" w:hAnsiTheme="majorHAnsi" w:cstheme="majorHAnsi"/>
          <w:sz w:val="24"/>
          <w:szCs w:val="24"/>
          <w:lang w:val="en-GB" w:eastAsia="en-GB"/>
        </w:rPr>
        <w:t xml:space="preserve"> 2 is </w:t>
      </w:r>
      <w:proofErr w:type="gramStart"/>
      <w:r>
        <w:rPr>
          <w:rFonts w:asciiTheme="majorHAnsi" w:eastAsia="Times New Roman" w:hAnsiTheme="majorHAnsi" w:cstheme="majorHAnsi"/>
          <w:sz w:val="24"/>
          <w:szCs w:val="24"/>
          <w:lang w:val="en-GB" w:eastAsia="en-GB"/>
        </w:rPr>
        <w:t>a  matched</w:t>
      </w:r>
      <w:proofErr w:type="gramEnd"/>
      <w:r>
        <w:rPr>
          <w:rFonts w:asciiTheme="majorHAnsi" w:eastAsia="Times New Roman" w:hAnsiTheme="majorHAnsi" w:cstheme="majorHAnsi"/>
          <w:sz w:val="24"/>
          <w:szCs w:val="24"/>
          <w:lang w:val="en-GB" w:eastAsia="en-GB"/>
        </w:rPr>
        <w:t xml:space="preserve"> cohort comparing clinical and imaging features of acute PE in hospitalized patients with and without prior splenectomy. Severity indices (PESI), biomarkers, RV/LV ratio, and clot burden were largely similar. Patients with splenectomy showed longer symptom duration, fewer concurrent DVTs, and more distal PE—but only after adjustment for age, sex, and BMI. Two of 40 splenectomy patients (5%) were subsequently diagnosed with CTEPH versus 0 of 100 controls.</w:t>
      </w:r>
    </w:p>
    <w:p w14:paraId="25D7EA09" w14:textId="77777777" w:rsidR="00EC49DC" w:rsidRDefault="002E6C1D">
      <w:pPr>
        <w:spacing w:before="100" w:beforeAutospacing="1" w:after="100" w:afterAutospacing="1" w:line="240" w:lineRule="auto"/>
        <w:rPr>
          <w:rFonts w:asciiTheme="majorHAnsi" w:eastAsia="Times New Roman" w:hAnsiTheme="majorHAnsi" w:cstheme="majorHAnsi"/>
          <w:sz w:val="24"/>
          <w:szCs w:val="24"/>
          <w:lang w:val="en-GB" w:eastAsia="en-GB"/>
        </w:rPr>
      </w:pPr>
      <w:r>
        <w:rPr>
          <w:rFonts w:asciiTheme="majorHAnsi" w:eastAsia="Times New Roman" w:hAnsiTheme="majorHAnsi" w:cstheme="majorHAnsi"/>
          <w:b/>
          <w:bCs/>
          <w:sz w:val="27"/>
          <w:szCs w:val="27"/>
          <w:lang w:val="en-GB" w:eastAsia="en-GB"/>
        </w:rPr>
        <w:t>Comments</w:t>
      </w:r>
    </w:p>
    <w:p w14:paraId="673A22D3" w14:textId="77777777" w:rsidR="00EC49DC" w:rsidRDefault="002E6C1D">
      <w:pPr>
        <w:spacing w:before="100" w:beforeAutospacing="1" w:after="100" w:afterAutospacing="1" w:line="240" w:lineRule="auto"/>
        <w:rPr>
          <w:rFonts w:asciiTheme="majorHAnsi" w:eastAsia="Times New Roman" w:hAnsiTheme="majorHAnsi" w:cstheme="majorHAnsi"/>
          <w:sz w:val="24"/>
          <w:szCs w:val="24"/>
          <w:lang w:val="en-GB" w:eastAsia="en-GB"/>
        </w:rPr>
      </w:pPr>
      <w:r>
        <w:rPr>
          <w:rFonts w:asciiTheme="majorHAnsi" w:eastAsia="Times New Roman" w:hAnsiTheme="majorHAnsi" w:cstheme="majorHAnsi"/>
          <w:b/>
          <w:bCs/>
          <w:sz w:val="24"/>
          <w:szCs w:val="24"/>
          <w:lang w:val="en-GB" w:eastAsia="en-GB"/>
        </w:rPr>
        <w:t>1. Study design and structure</w:t>
      </w:r>
      <w:r>
        <w:rPr>
          <w:rFonts w:asciiTheme="majorHAnsi" w:eastAsia="Times New Roman" w:hAnsiTheme="majorHAnsi" w:cstheme="majorHAnsi"/>
          <w:sz w:val="24"/>
          <w:szCs w:val="24"/>
          <w:lang w:val="en-GB" w:eastAsia="en-GB"/>
        </w:rPr>
        <w:br/>
        <w:t xml:space="preserve">The dual-study approach results in a somewhat cumbersome presentation. Each </w:t>
      </w:r>
      <w:proofErr w:type="spellStart"/>
      <w:r>
        <w:rPr>
          <w:rFonts w:asciiTheme="majorHAnsi" w:eastAsia="Times New Roman" w:hAnsiTheme="majorHAnsi" w:cstheme="majorHAnsi"/>
          <w:sz w:val="24"/>
          <w:szCs w:val="24"/>
          <w:lang w:val="en-GB" w:eastAsia="en-GB"/>
        </w:rPr>
        <w:t>substudy</w:t>
      </w:r>
      <w:proofErr w:type="spellEnd"/>
      <w:r>
        <w:rPr>
          <w:rFonts w:asciiTheme="majorHAnsi" w:eastAsia="Times New Roman" w:hAnsiTheme="majorHAnsi" w:cstheme="majorHAnsi"/>
          <w:sz w:val="24"/>
          <w:szCs w:val="24"/>
          <w:lang w:val="en-GB" w:eastAsia="en-GB"/>
        </w:rPr>
        <w:t xml:space="preserve"> addresses a distinct question with different base populations and time frames, which makes transitions between them hard to follow. The relationship between the two analyses is clear, but the jumping between datasets could be smoothed for readability. Clarifying why different time frames were selected for the four groups in </w:t>
      </w:r>
      <w:proofErr w:type="spellStart"/>
      <w:r>
        <w:rPr>
          <w:rFonts w:asciiTheme="majorHAnsi" w:eastAsia="Times New Roman" w:hAnsiTheme="majorHAnsi" w:cstheme="majorHAnsi"/>
          <w:sz w:val="24"/>
          <w:szCs w:val="24"/>
          <w:lang w:val="en-GB" w:eastAsia="en-GB"/>
        </w:rPr>
        <w:t>Substudy</w:t>
      </w:r>
      <w:proofErr w:type="spellEnd"/>
      <w:r>
        <w:rPr>
          <w:rFonts w:asciiTheme="majorHAnsi" w:eastAsia="Times New Roman" w:hAnsiTheme="majorHAnsi" w:cstheme="majorHAnsi"/>
          <w:sz w:val="24"/>
          <w:szCs w:val="24"/>
          <w:lang w:val="en-GB" w:eastAsia="en-GB"/>
        </w:rPr>
        <w:t xml:space="preserve"> 1 would also help readers assess comparability and interpret the data more confidently.</w:t>
      </w:r>
    </w:p>
    <w:p w14:paraId="6DE677D1" w14:textId="44011062" w:rsidR="000C4F63" w:rsidRDefault="000C4F63">
      <w:pPr>
        <w:spacing w:before="100" w:beforeAutospacing="1" w:after="100" w:afterAutospacing="1" w:line="240" w:lineRule="auto"/>
        <w:rPr>
          <w:rFonts w:asciiTheme="majorHAnsi" w:eastAsia="Times New Roman" w:hAnsiTheme="majorHAnsi" w:cstheme="majorHAnsi"/>
          <w:color w:val="153D63" w:themeColor="text2" w:themeTint="E6"/>
          <w:sz w:val="24"/>
          <w:szCs w:val="24"/>
          <w:lang w:val="en-GB" w:eastAsia="en-GB"/>
        </w:rPr>
      </w:pPr>
      <w:r>
        <w:rPr>
          <w:rFonts w:asciiTheme="majorHAnsi" w:eastAsia="Times New Roman" w:hAnsiTheme="majorHAnsi" w:cstheme="majorHAnsi"/>
          <w:color w:val="153D63" w:themeColor="text2" w:themeTint="E6"/>
          <w:sz w:val="24"/>
          <w:szCs w:val="24"/>
          <w:lang w:val="en-GB" w:eastAsia="en-GB"/>
        </w:rPr>
        <w:t xml:space="preserve">We thank the reviewer for the </w:t>
      </w:r>
      <w:proofErr w:type="gramStart"/>
      <w:r>
        <w:rPr>
          <w:rFonts w:asciiTheme="majorHAnsi" w:eastAsia="Times New Roman" w:hAnsiTheme="majorHAnsi" w:cstheme="majorHAnsi"/>
          <w:color w:val="153D63" w:themeColor="text2" w:themeTint="E6"/>
          <w:sz w:val="24"/>
          <w:szCs w:val="24"/>
          <w:lang w:val="en-GB" w:eastAsia="en-GB"/>
        </w:rPr>
        <w:t>comment, and</w:t>
      </w:r>
      <w:proofErr w:type="gramEnd"/>
      <w:r>
        <w:rPr>
          <w:rFonts w:asciiTheme="majorHAnsi" w:eastAsia="Times New Roman" w:hAnsiTheme="majorHAnsi" w:cstheme="majorHAnsi"/>
          <w:color w:val="153D63" w:themeColor="text2" w:themeTint="E6"/>
          <w:sz w:val="24"/>
          <w:szCs w:val="24"/>
          <w:lang w:val="en-GB" w:eastAsia="en-GB"/>
        </w:rPr>
        <w:t xml:space="preserve"> agree that the dual </w:t>
      </w:r>
      <w:proofErr w:type="spellStart"/>
      <w:r>
        <w:rPr>
          <w:rFonts w:asciiTheme="majorHAnsi" w:eastAsia="Times New Roman" w:hAnsiTheme="majorHAnsi" w:cstheme="majorHAnsi"/>
          <w:color w:val="153D63" w:themeColor="text2" w:themeTint="E6"/>
          <w:sz w:val="24"/>
          <w:szCs w:val="24"/>
          <w:lang w:val="en-GB" w:eastAsia="en-GB"/>
        </w:rPr>
        <w:t>substudy</w:t>
      </w:r>
      <w:proofErr w:type="spellEnd"/>
      <w:r>
        <w:rPr>
          <w:rFonts w:asciiTheme="majorHAnsi" w:eastAsia="Times New Roman" w:hAnsiTheme="majorHAnsi" w:cstheme="majorHAnsi"/>
          <w:color w:val="153D63" w:themeColor="text2" w:themeTint="E6"/>
          <w:sz w:val="24"/>
          <w:szCs w:val="24"/>
          <w:lang w:val="en-GB" w:eastAsia="en-GB"/>
        </w:rPr>
        <w:t xml:space="preserve"> approach is indeed cumbersome. Our rationale was to first validate that splenectomy is associated more strongly with CTEPH than with acute </w:t>
      </w:r>
      <w:proofErr w:type="gramStart"/>
      <w:r>
        <w:rPr>
          <w:rFonts w:asciiTheme="majorHAnsi" w:eastAsia="Times New Roman" w:hAnsiTheme="majorHAnsi" w:cstheme="majorHAnsi"/>
          <w:color w:val="153D63" w:themeColor="text2" w:themeTint="E6"/>
          <w:sz w:val="24"/>
          <w:szCs w:val="24"/>
          <w:lang w:val="en-GB" w:eastAsia="en-GB"/>
        </w:rPr>
        <w:t>PE, and</w:t>
      </w:r>
      <w:proofErr w:type="gramEnd"/>
      <w:r>
        <w:rPr>
          <w:rFonts w:asciiTheme="majorHAnsi" w:eastAsia="Times New Roman" w:hAnsiTheme="majorHAnsi" w:cstheme="majorHAnsi"/>
          <w:color w:val="153D63" w:themeColor="text2" w:themeTint="E6"/>
          <w:sz w:val="24"/>
          <w:szCs w:val="24"/>
          <w:lang w:val="en-GB" w:eastAsia="en-GB"/>
        </w:rPr>
        <w:t xml:space="preserve"> then move on to a novel exploration of how splenectomy modifies PE features. The dual </w:t>
      </w:r>
      <w:proofErr w:type="spellStart"/>
      <w:r>
        <w:rPr>
          <w:rFonts w:asciiTheme="majorHAnsi" w:eastAsia="Times New Roman" w:hAnsiTheme="majorHAnsi" w:cstheme="majorHAnsi"/>
          <w:color w:val="153D63" w:themeColor="text2" w:themeTint="E6"/>
          <w:sz w:val="24"/>
          <w:szCs w:val="24"/>
          <w:lang w:val="en-GB" w:eastAsia="en-GB"/>
        </w:rPr>
        <w:t>substudy</w:t>
      </w:r>
      <w:proofErr w:type="spellEnd"/>
      <w:r>
        <w:rPr>
          <w:rFonts w:asciiTheme="majorHAnsi" w:eastAsia="Times New Roman" w:hAnsiTheme="majorHAnsi" w:cstheme="majorHAnsi"/>
          <w:color w:val="153D63" w:themeColor="text2" w:themeTint="E6"/>
          <w:sz w:val="24"/>
          <w:szCs w:val="24"/>
          <w:lang w:val="en-GB" w:eastAsia="en-GB"/>
        </w:rPr>
        <w:t xml:space="preserve"> approach seemed to best meet these goals. We have modified the methods section to include the following language clarifying why different time frames were selected for the four groups in </w:t>
      </w:r>
      <w:proofErr w:type="spellStart"/>
      <w:r>
        <w:rPr>
          <w:rFonts w:asciiTheme="majorHAnsi" w:eastAsia="Times New Roman" w:hAnsiTheme="majorHAnsi" w:cstheme="majorHAnsi"/>
          <w:color w:val="153D63" w:themeColor="text2" w:themeTint="E6"/>
          <w:sz w:val="24"/>
          <w:szCs w:val="24"/>
          <w:lang w:val="en-GB" w:eastAsia="en-GB"/>
        </w:rPr>
        <w:t>substudy</w:t>
      </w:r>
      <w:proofErr w:type="spellEnd"/>
      <w:r>
        <w:rPr>
          <w:rFonts w:asciiTheme="majorHAnsi" w:eastAsia="Times New Roman" w:hAnsiTheme="majorHAnsi" w:cstheme="majorHAnsi"/>
          <w:color w:val="153D63" w:themeColor="text2" w:themeTint="E6"/>
          <w:sz w:val="24"/>
          <w:szCs w:val="24"/>
          <w:lang w:val="en-GB" w:eastAsia="en-GB"/>
        </w:rPr>
        <w:t xml:space="preserve"> 1:</w:t>
      </w:r>
    </w:p>
    <w:p w14:paraId="3A97B771" w14:textId="618E2611" w:rsidR="000C4F63" w:rsidRPr="000C4F63" w:rsidRDefault="000C4F63">
      <w:pPr>
        <w:spacing w:before="100" w:beforeAutospacing="1" w:after="100" w:afterAutospacing="1" w:line="240" w:lineRule="auto"/>
        <w:rPr>
          <w:rFonts w:asciiTheme="majorHAnsi" w:eastAsia="Times New Roman" w:hAnsiTheme="majorHAnsi" w:cstheme="majorHAnsi"/>
          <w:color w:val="153D63" w:themeColor="text2" w:themeTint="E6"/>
          <w:sz w:val="24"/>
          <w:szCs w:val="24"/>
          <w:lang w:val="en-GB" w:eastAsia="en-GB"/>
        </w:rPr>
      </w:pPr>
      <w:r w:rsidRPr="000C4F63">
        <w:rPr>
          <w:color w:val="153D63" w:themeColor="text2" w:themeTint="E6"/>
          <w:sz w:val="24"/>
          <w:szCs w:val="24"/>
        </w:rPr>
        <w:t>“The four groups were derived from differing time frames for practical purposes. Because CTEPH is a less common diagnosis than PE, a longer timeframe was required for the CTEPH group to allow inclusion of sufficient cases. The “all PE”, “unprovoked PE”, and “no PE” group were derived from populations that we had already characterized for previous studies.</w:t>
      </w:r>
      <w:r w:rsidRPr="000C4F63">
        <w:rPr>
          <w:color w:val="153D63" w:themeColor="text2" w:themeTint="E6"/>
          <w:sz w:val="24"/>
          <w:szCs w:val="24"/>
        </w:rPr>
        <w:fldChar w:fldCharType="begin">
          <w:fldData xml:space="preserve">PEVuZE5vdGU+PENpdGU+PEF1dGhvcj5DaXJ1bGlzPC9BdXRob3I+PFllYXI+MjAyMjwvWWVhcj48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</w:fldData>
        </w:fldChar>
      </w:r>
      <w:r w:rsidRPr="000C4F63">
        <w:rPr>
          <w:color w:val="153D63" w:themeColor="text2" w:themeTint="E6"/>
          <w:sz w:val="24"/>
          <w:szCs w:val="24"/>
        </w:rPr>
        <w:instrText xml:space="preserve"> ADDIN EN.CITE </w:instrText>
      </w:r>
      <w:r w:rsidRPr="000C4F63">
        <w:rPr>
          <w:color w:val="153D63" w:themeColor="text2" w:themeTint="E6"/>
          <w:sz w:val="24"/>
          <w:szCs w:val="24"/>
        </w:rPr>
        <w:fldChar w:fldCharType="begin">
          <w:fldData xml:space="preserve">PEVuZE5vdGU+PENpdGU+PEF1dGhvcj5DaXJ1bGlzPC9BdXRob3I+PFllYXI+MjAyMjwvWWVhcj48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</w:fldData>
        </w:fldChar>
      </w:r>
      <w:r w:rsidRPr="000C4F63">
        <w:rPr>
          <w:color w:val="153D63" w:themeColor="text2" w:themeTint="E6"/>
          <w:sz w:val="24"/>
          <w:szCs w:val="24"/>
        </w:rPr>
        <w:instrText xml:space="preserve"> ADDIN EN.CITE.DATA </w:instrText>
      </w:r>
      <w:r w:rsidRPr="000C4F63">
        <w:rPr>
          <w:color w:val="153D63" w:themeColor="text2" w:themeTint="E6"/>
          <w:sz w:val="24"/>
          <w:szCs w:val="24"/>
        </w:rPr>
      </w:r>
      <w:r w:rsidRPr="000C4F63">
        <w:rPr>
          <w:color w:val="153D63" w:themeColor="text2" w:themeTint="E6"/>
          <w:sz w:val="24"/>
          <w:szCs w:val="24"/>
        </w:rPr>
        <w:fldChar w:fldCharType="end"/>
      </w:r>
      <w:r w:rsidRPr="000C4F63">
        <w:rPr>
          <w:color w:val="153D63" w:themeColor="text2" w:themeTint="E6"/>
          <w:sz w:val="24"/>
          <w:szCs w:val="24"/>
        </w:rPr>
        <w:fldChar w:fldCharType="separate"/>
      </w:r>
      <w:r w:rsidRPr="000C4F63">
        <w:rPr>
          <w:noProof/>
          <w:color w:val="153D63" w:themeColor="text2" w:themeTint="E6"/>
          <w:sz w:val="24"/>
          <w:szCs w:val="24"/>
          <w:vertAlign w:val="superscript"/>
        </w:rPr>
        <w:t>11, 12</w:t>
      </w:r>
      <w:r w:rsidRPr="000C4F63">
        <w:rPr>
          <w:color w:val="153D63" w:themeColor="text2" w:themeTint="E6"/>
          <w:sz w:val="24"/>
          <w:szCs w:val="24"/>
        </w:rPr>
        <w:fldChar w:fldCharType="end"/>
      </w:r>
      <w:r w:rsidRPr="000C4F63">
        <w:rPr>
          <w:color w:val="153D63" w:themeColor="text2" w:themeTint="E6"/>
          <w:sz w:val="24"/>
          <w:szCs w:val="24"/>
        </w:rPr>
        <w:t>”</w:t>
      </w:r>
    </w:p>
    <w:p w14:paraId="3C56E466" w14:textId="77777777" w:rsidR="00EC49DC" w:rsidRDefault="002E6C1D">
      <w:pPr>
        <w:spacing w:before="100" w:beforeAutospacing="1" w:after="100" w:afterAutospacing="1" w:line="240" w:lineRule="auto"/>
        <w:rPr>
          <w:rFonts w:asciiTheme="majorHAnsi" w:eastAsia="Times New Roman" w:hAnsiTheme="majorHAnsi" w:cstheme="majorHAnsi"/>
          <w:sz w:val="24"/>
          <w:szCs w:val="24"/>
          <w:lang w:val="en-GB" w:eastAsia="en-GB"/>
        </w:rPr>
      </w:pPr>
      <w:r>
        <w:rPr>
          <w:rFonts w:asciiTheme="majorHAnsi" w:eastAsia="Times New Roman" w:hAnsiTheme="majorHAnsi" w:cstheme="majorHAnsi"/>
          <w:b/>
          <w:bCs/>
          <w:sz w:val="24"/>
          <w:szCs w:val="24"/>
          <w:lang w:val="en-GB" w:eastAsia="en-GB"/>
        </w:rPr>
        <w:t>2. Terminology (provoked vs unprovoked PE)</w:t>
      </w:r>
      <w:r>
        <w:rPr>
          <w:rFonts w:asciiTheme="majorHAnsi" w:eastAsia="Times New Roman" w:hAnsiTheme="majorHAnsi" w:cstheme="majorHAnsi"/>
          <w:sz w:val="24"/>
          <w:szCs w:val="24"/>
          <w:lang w:val="en-GB" w:eastAsia="en-GB"/>
        </w:rPr>
        <w:br/>
        <w:t xml:space="preserve">In </w:t>
      </w:r>
      <w:proofErr w:type="spellStart"/>
      <w:r>
        <w:rPr>
          <w:rFonts w:asciiTheme="majorHAnsi" w:eastAsia="Times New Roman" w:hAnsiTheme="majorHAnsi" w:cstheme="majorHAnsi"/>
          <w:sz w:val="24"/>
          <w:szCs w:val="24"/>
          <w:lang w:val="en-GB" w:eastAsia="en-GB"/>
        </w:rPr>
        <w:t>Substudy</w:t>
      </w:r>
      <w:proofErr w:type="spellEnd"/>
      <w:r>
        <w:rPr>
          <w:rFonts w:asciiTheme="majorHAnsi" w:eastAsia="Times New Roman" w:hAnsiTheme="majorHAnsi" w:cstheme="majorHAnsi"/>
          <w:sz w:val="24"/>
          <w:szCs w:val="24"/>
          <w:lang w:val="en-GB" w:eastAsia="en-GB"/>
        </w:rPr>
        <w:t xml:space="preserve"> 1, “unprovoked PE” is defined as the absence of </w:t>
      </w:r>
      <w:r>
        <w:rPr>
          <w:rFonts w:asciiTheme="majorHAnsi" w:eastAsia="Times New Roman" w:hAnsiTheme="majorHAnsi" w:cstheme="majorHAnsi"/>
          <w:i/>
          <w:iCs/>
          <w:sz w:val="24"/>
          <w:szCs w:val="24"/>
          <w:lang w:val="en-GB" w:eastAsia="en-GB"/>
        </w:rPr>
        <w:t>transient</w:t>
      </w:r>
      <w:r>
        <w:rPr>
          <w:rFonts w:asciiTheme="majorHAnsi" w:eastAsia="Times New Roman" w:hAnsiTheme="majorHAnsi" w:cstheme="majorHAnsi"/>
          <w:sz w:val="24"/>
          <w:szCs w:val="24"/>
          <w:lang w:val="en-GB" w:eastAsia="en-GB"/>
        </w:rPr>
        <w:t xml:space="preserve"> risk factors, which results </w:t>
      </w:r>
      <w:r>
        <w:rPr>
          <w:rFonts w:asciiTheme="majorHAnsi" w:eastAsia="Times New Roman" w:hAnsiTheme="majorHAnsi" w:cstheme="majorHAnsi"/>
          <w:sz w:val="24"/>
          <w:szCs w:val="24"/>
          <w:lang w:val="en-GB" w:eastAsia="en-GB"/>
        </w:rPr>
        <w:lastRenderedPageBreak/>
        <w:t xml:space="preserve">in the inclusion of patients with prior splenectomy in this category. However, according to current guidelines, a venous thromboembolism can be provoked either by a transient or by a persistent (chronic) risk factor. While these guidelines do not explicitly mention splenectomy, accumulating evidence indicates that it confers a long-term prothrombotic tendency. Therefore, PEs occurring after splenectomy might be considered provoked by a persistent risk factor, rather than truly unprovoked. Clarifying this terminology would better align the manuscript with contemporary definitions that distinguish between </w:t>
      </w:r>
      <w:r>
        <w:rPr>
          <w:rFonts w:asciiTheme="majorHAnsi" w:eastAsia="Times New Roman" w:hAnsiTheme="majorHAnsi" w:cstheme="majorHAnsi"/>
          <w:i/>
          <w:iCs/>
          <w:sz w:val="24"/>
          <w:szCs w:val="24"/>
          <w:lang w:val="en-GB" w:eastAsia="en-GB"/>
        </w:rPr>
        <w:t>transiently provoked</w:t>
      </w:r>
      <w:r>
        <w:rPr>
          <w:rFonts w:asciiTheme="majorHAnsi" w:eastAsia="Times New Roman" w:hAnsiTheme="majorHAnsi" w:cstheme="majorHAnsi"/>
          <w:sz w:val="24"/>
          <w:szCs w:val="24"/>
          <w:lang w:val="en-GB" w:eastAsia="en-GB"/>
        </w:rPr>
        <w:t xml:space="preserve">, </w:t>
      </w:r>
      <w:r>
        <w:rPr>
          <w:rFonts w:asciiTheme="majorHAnsi" w:eastAsia="Times New Roman" w:hAnsiTheme="majorHAnsi" w:cstheme="majorHAnsi"/>
          <w:i/>
          <w:iCs/>
          <w:sz w:val="24"/>
          <w:szCs w:val="24"/>
          <w:lang w:val="en-GB" w:eastAsia="en-GB"/>
        </w:rPr>
        <w:t>persistently provoked</w:t>
      </w:r>
      <w:r>
        <w:rPr>
          <w:rFonts w:asciiTheme="majorHAnsi" w:eastAsia="Times New Roman" w:hAnsiTheme="majorHAnsi" w:cstheme="majorHAnsi"/>
          <w:sz w:val="24"/>
          <w:szCs w:val="24"/>
          <w:lang w:val="en-GB" w:eastAsia="en-GB"/>
        </w:rPr>
        <w:t xml:space="preserve">, and </w:t>
      </w:r>
      <w:r>
        <w:rPr>
          <w:rFonts w:asciiTheme="majorHAnsi" w:eastAsia="Times New Roman" w:hAnsiTheme="majorHAnsi" w:cstheme="majorHAnsi"/>
          <w:i/>
          <w:iCs/>
          <w:sz w:val="24"/>
          <w:szCs w:val="24"/>
          <w:lang w:val="en-GB" w:eastAsia="en-GB"/>
        </w:rPr>
        <w:t>unprovoked</w:t>
      </w:r>
      <w:r>
        <w:rPr>
          <w:rFonts w:asciiTheme="majorHAnsi" w:eastAsia="Times New Roman" w:hAnsiTheme="majorHAnsi" w:cstheme="majorHAnsi"/>
          <w:sz w:val="24"/>
          <w:szCs w:val="24"/>
          <w:lang w:val="en-GB" w:eastAsia="en-GB"/>
        </w:rPr>
        <w:t xml:space="preserve"> events.</w:t>
      </w:r>
    </w:p>
    <w:p w14:paraId="000185C5" w14:textId="10F4A653" w:rsidR="008A1FC4" w:rsidRDefault="008A1FC4">
      <w:pPr>
        <w:spacing w:before="100" w:beforeAutospacing="1" w:after="100" w:afterAutospacing="1" w:line="240" w:lineRule="auto"/>
        <w:rPr>
          <w:rFonts w:asciiTheme="majorHAnsi" w:eastAsia="Times New Roman" w:hAnsiTheme="majorHAnsi" w:cstheme="majorHAnsi"/>
          <w:color w:val="153D63" w:themeColor="text2" w:themeTint="E6"/>
          <w:sz w:val="24"/>
          <w:szCs w:val="24"/>
          <w:lang w:val="en-GB" w:eastAsia="en-GB"/>
        </w:rPr>
      </w:pPr>
      <w:r>
        <w:rPr>
          <w:rFonts w:asciiTheme="majorHAnsi" w:eastAsia="Times New Roman" w:hAnsiTheme="majorHAnsi" w:cstheme="majorHAnsi"/>
          <w:color w:val="153D63" w:themeColor="text2" w:themeTint="E6"/>
          <w:sz w:val="24"/>
          <w:szCs w:val="24"/>
          <w:lang w:val="en-GB" w:eastAsia="en-GB"/>
        </w:rPr>
        <w:t xml:space="preserve">We agree with the reviewer that abundant evidence suggests that splenectomy is a persistent provoking factor for PE, however this has yet to make it into the guidelines. Another reason that we have not included splenectomy as a cause of provoked PE in our analysis is that </w:t>
      </w:r>
      <w:proofErr w:type="gramStart"/>
      <w:r>
        <w:rPr>
          <w:rFonts w:asciiTheme="majorHAnsi" w:eastAsia="Times New Roman" w:hAnsiTheme="majorHAnsi" w:cstheme="majorHAnsi"/>
          <w:color w:val="153D63" w:themeColor="text2" w:themeTint="E6"/>
          <w:sz w:val="24"/>
          <w:szCs w:val="24"/>
          <w:lang w:val="en-GB" w:eastAsia="en-GB"/>
        </w:rPr>
        <w:t>because by definition, there</w:t>
      </w:r>
      <w:proofErr w:type="gramEnd"/>
      <w:r>
        <w:rPr>
          <w:rFonts w:asciiTheme="majorHAnsi" w:eastAsia="Times New Roman" w:hAnsiTheme="majorHAnsi" w:cstheme="majorHAnsi"/>
          <w:color w:val="153D63" w:themeColor="text2" w:themeTint="E6"/>
          <w:sz w:val="24"/>
          <w:szCs w:val="24"/>
          <w:lang w:val="en-GB" w:eastAsia="en-GB"/>
        </w:rPr>
        <w:t xml:space="preserve"> would be no patients with splenectomy in the unprovoked PE group, making the comparison of splenectomy frequency between patients with CTEPH and unprovoked PE irrelevant. We find our existing comparison of splenectomy frequency among patients with unprovoked PE and CTEPH useful because a significant majority of patients with CTEPH have had unprovoked PE. Even among this population of PE patients at higher risk of CTEPH, splenectomy status is still more frequent in the CTEPH group. </w:t>
      </w:r>
    </w:p>
    <w:p w14:paraId="60703A3C" w14:textId="49F458AA" w:rsidR="008A1FC4" w:rsidRDefault="008A1FC4">
      <w:pPr>
        <w:spacing w:before="100" w:beforeAutospacing="1" w:after="100" w:afterAutospacing="1" w:line="240" w:lineRule="auto"/>
        <w:rPr>
          <w:rFonts w:asciiTheme="majorHAnsi" w:eastAsia="Times New Roman" w:hAnsiTheme="majorHAnsi" w:cstheme="majorHAnsi"/>
          <w:color w:val="153D63" w:themeColor="text2" w:themeTint="E6"/>
          <w:sz w:val="24"/>
          <w:szCs w:val="24"/>
          <w:lang w:val="en-GB" w:eastAsia="en-GB"/>
        </w:rPr>
      </w:pPr>
      <w:r>
        <w:rPr>
          <w:rFonts w:asciiTheme="majorHAnsi" w:eastAsia="Times New Roman" w:hAnsiTheme="majorHAnsi" w:cstheme="majorHAnsi"/>
          <w:color w:val="153D63" w:themeColor="text2" w:themeTint="E6"/>
          <w:sz w:val="24"/>
          <w:szCs w:val="24"/>
          <w:lang w:val="en-GB" w:eastAsia="en-GB"/>
        </w:rPr>
        <w:t>We have updated language in the methods regarding transient vs. persistent provoking factors for PE:</w:t>
      </w:r>
    </w:p>
    <w:p w14:paraId="78CC835D" w14:textId="5650A09B" w:rsidR="008A1FC4" w:rsidRPr="008A1FC4" w:rsidRDefault="008A1FC4" w:rsidP="008A1FC4">
      <w:pPr>
        <w:rPr>
          <w:color w:val="153D63" w:themeColor="text2" w:themeTint="E6"/>
          <w:sz w:val="24"/>
          <w:szCs w:val="24"/>
        </w:rPr>
      </w:pPr>
      <w:r w:rsidRPr="008A1FC4">
        <w:rPr>
          <w:color w:val="153D63" w:themeColor="text2" w:themeTint="E6"/>
          <w:sz w:val="24"/>
          <w:szCs w:val="24"/>
        </w:rPr>
        <w:t>“</w:t>
      </w:r>
      <w:r w:rsidRPr="008A1FC4">
        <w:rPr>
          <w:color w:val="153D63" w:themeColor="text2" w:themeTint="E6"/>
          <w:sz w:val="24"/>
          <w:szCs w:val="24"/>
        </w:rPr>
        <w:t>Unprovoked PE was defined by the absence of persistent (malignancy that was either active at the time of the PE or diagnosed within 6 months after PE diagnosis) or transient (estrogen or testosterone therapy, pregnancy up to three months post-partum, surgery requiring general anesthesia in the three months prior to PE diagnosis, or trauma or medical illness requiring immobilization for ≥ 3 days in the 3 months prior to PE diagnosis) risk factors for PE.</w:t>
      </w:r>
      <w:r w:rsidRPr="008A1FC4">
        <w:rPr>
          <w:color w:val="153D63" w:themeColor="text2" w:themeTint="E6"/>
          <w:sz w:val="24"/>
          <w:szCs w:val="24"/>
        </w:rPr>
        <w:t>”</w:t>
      </w:r>
    </w:p>
    <w:p w14:paraId="6C84FE89" w14:textId="77777777" w:rsidR="00EC49DC" w:rsidRDefault="002E6C1D">
      <w:pPr>
        <w:spacing w:before="100" w:beforeAutospacing="1" w:after="100" w:afterAutospacing="1" w:line="240" w:lineRule="auto"/>
        <w:rPr>
          <w:rFonts w:asciiTheme="majorHAnsi" w:eastAsia="Times New Roman" w:hAnsiTheme="majorHAnsi" w:cstheme="majorHAnsi"/>
          <w:sz w:val="24"/>
          <w:szCs w:val="24"/>
          <w:lang w:val="en-GB" w:eastAsia="en-GB"/>
        </w:rPr>
      </w:pPr>
      <w:r>
        <w:rPr>
          <w:rFonts w:asciiTheme="majorHAnsi" w:eastAsia="Times New Roman" w:hAnsiTheme="majorHAnsi" w:cstheme="majorHAnsi"/>
          <w:b/>
          <w:bCs/>
          <w:sz w:val="24"/>
          <w:szCs w:val="24"/>
          <w:lang w:val="en-GB" w:eastAsia="en-GB"/>
        </w:rPr>
        <w:t>3. Interpretation of findings (</w:t>
      </w:r>
      <w:proofErr w:type="spellStart"/>
      <w:r>
        <w:rPr>
          <w:rFonts w:asciiTheme="majorHAnsi" w:eastAsia="Times New Roman" w:hAnsiTheme="majorHAnsi" w:cstheme="majorHAnsi"/>
          <w:b/>
          <w:bCs/>
          <w:sz w:val="24"/>
          <w:szCs w:val="24"/>
          <w:lang w:val="en-GB" w:eastAsia="en-GB"/>
        </w:rPr>
        <w:t>Substudy</w:t>
      </w:r>
      <w:proofErr w:type="spellEnd"/>
      <w:r>
        <w:rPr>
          <w:rFonts w:asciiTheme="majorHAnsi" w:eastAsia="Times New Roman" w:hAnsiTheme="majorHAnsi" w:cstheme="majorHAnsi"/>
          <w:b/>
          <w:bCs/>
          <w:sz w:val="24"/>
          <w:szCs w:val="24"/>
          <w:lang w:val="en-GB" w:eastAsia="en-GB"/>
        </w:rPr>
        <w:t xml:space="preserve"> 2)</w:t>
      </w:r>
      <w:r>
        <w:rPr>
          <w:rFonts w:asciiTheme="majorHAnsi" w:eastAsia="Times New Roman" w:hAnsiTheme="majorHAnsi" w:cstheme="majorHAnsi"/>
          <w:sz w:val="24"/>
          <w:szCs w:val="24"/>
          <w:lang w:val="en-GB" w:eastAsia="en-GB"/>
        </w:rPr>
        <w:br/>
        <w:t xml:space="preserve">Part 2 yields modest differences; </w:t>
      </w:r>
      <w:proofErr w:type="gramStart"/>
      <w:r>
        <w:rPr>
          <w:rFonts w:asciiTheme="majorHAnsi" w:eastAsia="Times New Roman" w:hAnsiTheme="majorHAnsi" w:cstheme="majorHAnsi"/>
          <w:sz w:val="24"/>
          <w:szCs w:val="24"/>
          <w:lang w:val="en-GB" w:eastAsia="en-GB"/>
        </w:rPr>
        <w:t>the majority of</w:t>
      </w:r>
      <w:proofErr w:type="gramEnd"/>
      <w:r>
        <w:rPr>
          <w:rFonts w:asciiTheme="majorHAnsi" w:eastAsia="Times New Roman" w:hAnsiTheme="majorHAnsi" w:cstheme="majorHAnsi"/>
          <w:sz w:val="24"/>
          <w:szCs w:val="24"/>
          <w:lang w:val="en-GB" w:eastAsia="en-GB"/>
        </w:rPr>
        <w:t xml:space="preserve"> physiologic and imaging parameters were similar between groups, suggesting largely comparable PE presentations with only small phenotypic variations. Describing the results as “largely similar with minor differences” would be accurate and balanced.</w:t>
      </w:r>
    </w:p>
    <w:p w14:paraId="691AC712" w14:textId="01FACE4E" w:rsidR="00DE7F2B" w:rsidRDefault="00DE7F2B">
      <w:pPr>
        <w:spacing w:before="100" w:beforeAutospacing="1" w:after="100" w:afterAutospacing="1" w:line="240" w:lineRule="auto"/>
        <w:rPr>
          <w:rFonts w:asciiTheme="majorHAnsi" w:eastAsia="Times New Roman" w:hAnsiTheme="majorHAnsi" w:cstheme="majorHAnsi"/>
          <w:color w:val="153D63" w:themeColor="text2" w:themeTint="E6"/>
          <w:sz w:val="24"/>
          <w:szCs w:val="24"/>
          <w:lang w:val="en-GB" w:eastAsia="en-GB"/>
        </w:rPr>
      </w:pPr>
      <w:r>
        <w:rPr>
          <w:rFonts w:asciiTheme="majorHAnsi" w:eastAsia="Times New Roman" w:hAnsiTheme="majorHAnsi" w:cstheme="majorHAnsi"/>
          <w:color w:val="153D63" w:themeColor="text2" w:themeTint="E6"/>
          <w:sz w:val="24"/>
          <w:szCs w:val="24"/>
          <w:lang w:val="en-GB" w:eastAsia="en-GB"/>
        </w:rPr>
        <w:t>We have updated the discussion to align with the reviewer’s comment:</w:t>
      </w:r>
    </w:p>
    <w:p w14:paraId="7DC9BA91" w14:textId="78B4F6FE" w:rsidR="00DE7F2B" w:rsidRPr="00DE7F2B" w:rsidRDefault="00DE7F2B">
      <w:pPr>
        <w:spacing w:before="100" w:beforeAutospacing="1" w:after="100" w:afterAutospacing="1" w:line="240" w:lineRule="auto"/>
        <w:rPr>
          <w:rFonts w:asciiTheme="majorHAnsi" w:eastAsia="Times New Roman" w:hAnsiTheme="majorHAnsi" w:cstheme="majorHAnsi"/>
          <w:color w:val="153D63" w:themeColor="text2" w:themeTint="E6"/>
          <w:sz w:val="24"/>
          <w:szCs w:val="24"/>
          <w:lang w:val="en-GB" w:eastAsia="en-GB"/>
        </w:rPr>
      </w:pPr>
      <w:r w:rsidRPr="00DE7F2B">
        <w:rPr>
          <w:color w:val="153D63" w:themeColor="text2" w:themeTint="E6"/>
          <w:sz w:val="24"/>
          <w:szCs w:val="24"/>
        </w:rPr>
        <w:t>“</w:t>
      </w:r>
      <w:r w:rsidRPr="00DE7F2B">
        <w:rPr>
          <w:color w:val="153D63" w:themeColor="text2" w:themeTint="E6"/>
          <w:sz w:val="24"/>
          <w:szCs w:val="24"/>
        </w:rPr>
        <w:t xml:space="preserve">In this pair of </w:t>
      </w:r>
      <w:proofErr w:type="spellStart"/>
      <w:r w:rsidRPr="00DE7F2B">
        <w:rPr>
          <w:color w:val="153D63" w:themeColor="text2" w:themeTint="E6"/>
          <w:sz w:val="24"/>
          <w:szCs w:val="24"/>
        </w:rPr>
        <w:t>substudies</w:t>
      </w:r>
      <w:proofErr w:type="spellEnd"/>
      <w:r w:rsidRPr="00DE7F2B">
        <w:rPr>
          <w:color w:val="153D63" w:themeColor="text2" w:themeTint="E6"/>
          <w:sz w:val="24"/>
          <w:szCs w:val="24"/>
        </w:rPr>
        <w:t>, we show that the odds of a prior splenectomy are higher in patients with CTEPH than in patients with acute PE, and that the clinical features of acute PE in patients with splenectomy vs. without are largely similar (PESI score, troponin, BNP) but with minor differences (patients with splenectomy more likely to present with subacute symptoms, less likely to have DVT, and more likely to have distal PE in adjusted analyses).</w:t>
      </w:r>
      <w:r w:rsidRPr="00DE7F2B">
        <w:rPr>
          <w:color w:val="153D63" w:themeColor="text2" w:themeTint="E6"/>
          <w:sz w:val="24"/>
          <w:szCs w:val="24"/>
        </w:rPr>
        <w:t>”</w:t>
      </w:r>
    </w:p>
    <w:p w14:paraId="109CBC67" w14:textId="77777777" w:rsidR="00C247F5" w:rsidRDefault="00C247F5">
      <w:pPr>
        <w:spacing w:before="100" w:beforeAutospacing="1" w:after="100" w:afterAutospacing="1" w:line="240" w:lineRule="auto"/>
        <w:rPr>
          <w:rFonts w:asciiTheme="majorHAnsi" w:eastAsia="Times New Roman" w:hAnsiTheme="majorHAnsi" w:cstheme="majorHAnsi"/>
          <w:sz w:val="24"/>
          <w:szCs w:val="24"/>
          <w:lang w:val="en-GB" w:eastAsia="en-GB"/>
        </w:rPr>
      </w:pPr>
    </w:p>
    <w:p w14:paraId="4525B3AC" w14:textId="77777777" w:rsidR="00EC49DC" w:rsidRDefault="002E6C1D">
      <w:pPr>
        <w:spacing w:before="100" w:beforeAutospacing="1" w:after="100" w:afterAutospacing="1" w:line="240" w:lineRule="auto"/>
        <w:rPr>
          <w:rFonts w:asciiTheme="majorHAnsi" w:eastAsia="Times New Roman" w:hAnsiTheme="majorHAnsi" w:cstheme="majorHAnsi"/>
          <w:sz w:val="24"/>
          <w:szCs w:val="24"/>
          <w:lang w:val="en-GB" w:eastAsia="en-GB"/>
        </w:rPr>
      </w:pPr>
      <w:r>
        <w:rPr>
          <w:rFonts w:asciiTheme="majorHAnsi" w:eastAsia="Times New Roman" w:hAnsiTheme="majorHAnsi" w:cstheme="majorHAnsi"/>
          <w:b/>
          <w:bCs/>
          <w:sz w:val="24"/>
          <w:szCs w:val="24"/>
          <w:lang w:val="en-GB" w:eastAsia="en-GB"/>
        </w:rPr>
        <w:lastRenderedPageBreak/>
        <w:t>4. Phrasing of exposure vs outcome</w:t>
      </w:r>
      <w:r>
        <w:rPr>
          <w:rFonts w:asciiTheme="majorHAnsi" w:eastAsia="Times New Roman" w:hAnsiTheme="majorHAnsi" w:cstheme="majorHAnsi"/>
          <w:sz w:val="24"/>
          <w:szCs w:val="24"/>
          <w:lang w:val="en-GB" w:eastAsia="en-GB"/>
        </w:rPr>
        <w:br/>
        <w:t>The Discussion states that “</w:t>
      </w:r>
      <w:r>
        <w:rPr>
          <w:rFonts w:asciiTheme="majorHAnsi" w:eastAsia="Times New Roman" w:hAnsiTheme="majorHAnsi" w:cstheme="majorHAnsi"/>
          <w:i/>
          <w:iCs/>
          <w:sz w:val="24"/>
          <w:szCs w:val="24"/>
          <w:lang w:val="en-GB" w:eastAsia="en-GB"/>
        </w:rPr>
        <w:t>the odds of a prior splenectomy are higher in patients with CTEPH than in patients with acute PE</w:t>
      </w:r>
      <w:r>
        <w:rPr>
          <w:rFonts w:asciiTheme="majorHAnsi" w:eastAsia="Times New Roman" w:hAnsiTheme="majorHAnsi" w:cstheme="majorHAnsi"/>
          <w:sz w:val="24"/>
          <w:szCs w:val="24"/>
          <w:lang w:val="en-GB" w:eastAsia="en-GB"/>
        </w:rPr>
        <w:t>.” While statistically correct, this phrasing can be misread as implying splenectomy is an outcome rather than a pre-existing exposure. The sentence should be rephrased.</w:t>
      </w:r>
    </w:p>
    <w:p w14:paraId="7502C49B" w14:textId="0A7D4826" w:rsidR="00DE7F2B" w:rsidRPr="00DE7F2B" w:rsidRDefault="00DE7F2B">
      <w:pPr>
        <w:spacing w:before="100" w:beforeAutospacing="1" w:after="100" w:afterAutospacing="1" w:line="240" w:lineRule="auto"/>
        <w:rPr>
          <w:rFonts w:asciiTheme="majorHAnsi" w:eastAsia="Times New Roman" w:hAnsiTheme="majorHAnsi" w:cstheme="majorHAnsi"/>
          <w:color w:val="153D63" w:themeColor="text2" w:themeTint="E6"/>
          <w:sz w:val="24"/>
          <w:szCs w:val="24"/>
          <w:lang w:val="en-GB" w:eastAsia="en-GB"/>
        </w:rPr>
      </w:pPr>
      <w:r w:rsidRPr="00DE7F2B">
        <w:rPr>
          <w:rFonts w:asciiTheme="majorHAnsi" w:eastAsia="Times New Roman" w:hAnsiTheme="majorHAnsi" w:cstheme="majorHAnsi"/>
          <w:color w:val="153D63" w:themeColor="text2" w:themeTint="E6"/>
          <w:sz w:val="24"/>
          <w:szCs w:val="24"/>
          <w:lang w:val="en-GB" w:eastAsia="en-GB"/>
        </w:rPr>
        <w:t>We have rephrased as follows: “the frequency of splenectomy is higher in patients with CTEPH than in patients with acute PE…”</w:t>
      </w:r>
    </w:p>
    <w:p w14:paraId="526AA885" w14:textId="77777777" w:rsidR="00EC49DC" w:rsidRDefault="002E6C1D">
      <w:pPr>
        <w:spacing w:before="100" w:beforeAutospacing="1" w:after="100" w:afterAutospacing="1" w:line="240" w:lineRule="auto"/>
        <w:rPr>
          <w:rFonts w:asciiTheme="majorHAnsi" w:eastAsia="Times New Roman" w:hAnsiTheme="majorHAnsi" w:cstheme="majorHAnsi"/>
          <w:sz w:val="24"/>
          <w:szCs w:val="24"/>
          <w:lang w:val="en-GB" w:eastAsia="en-GB"/>
        </w:rPr>
      </w:pPr>
      <w:r>
        <w:rPr>
          <w:rFonts w:asciiTheme="majorHAnsi" w:eastAsia="Times New Roman" w:hAnsiTheme="majorHAnsi" w:cstheme="majorHAnsi"/>
          <w:b/>
          <w:bCs/>
          <w:sz w:val="24"/>
          <w:szCs w:val="24"/>
          <w:lang w:val="en-GB" w:eastAsia="en-GB"/>
        </w:rPr>
        <w:t>5. Radiologic reassessment suggestion</w:t>
      </w:r>
      <w:r>
        <w:rPr>
          <w:rFonts w:asciiTheme="majorHAnsi" w:eastAsia="Times New Roman" w:hAnsiTheme="majorHAnsi" w:cstheme="majorHAnsi"/>
          <w:sz w:val="24"/>
          <w:szCs w:val="24"/>
          <w:lang w:val="en-GB" w:eastAsia="en-GB"/>
        </w:rPr>
        <w:br/>
        <w:t>The authors propose that “</w:t>
      </w:r>
      <w:r>
        <w:rPr>
          <w:rFonts w:asciiTheme="majorHAnsi" w:eastAsia="Times New Roman" w:hAnsiTheme="majorHAnsi" w:cstheme="majorHAnsi"/>
          <w:i/>
          <w:iCs/>
          <w:sz w:val="24"/>
          <w:szCs w:val="24"/>
          <w:lang w:val="en-GB" w:eastAsia="en-GB"/>
        </w:rPr>
        <w:t>splenectomy may increase the likelihood that CTEPH was already present at the patient’s index PE presentation.</w:t>
      </w:r>
      <w:r>
        <w:rPr>
          <w:rFonts w:asciiTheme="majorHAnsi" w:eastAsia="Times New Roman" w:hAnsiTheme="majorHAnsi" w:cstheme="majorHAnsi"/>
          <w:sz w:val="24"/>
          <w:szCs w:val="24"/>
          <w:lang w:val="en-GB" w:eastAsia="en-GB"/>
        </w:rPr>
        <w:t xml:space="preserve">” To reinforce this hypothesis, the authors might consider a retrospective review of initial CTPA scans for the established six radiologic signs of CTEPH, as suggested for example in </w:t>
      </w:r>
      <w:r>
        <w:rPr>
          <w:rFonts w:asciiTheme="majorHAnsi" w:eastAsia="Times New Roman" w:hAnsiTheme="majorHAnsi" w:cstheme="majorHAnsi"/>
          <w:i/>
          <w:iCs/>
          <w:sz w:val="24"/>
          <w:szCs w:val="24"/>
          <w:lang w:val="en-GB" w:eastAsia="en-GB"/>
        </w:rPr>
        <w:t>European Radiology</w:t>
      </w:r>
      <w:r>
        <w:rPr>
          <w:rFonts w:asciiTheme="majorHAnsi" w:eastAsia="Times New Roman" w:hAnsiTheme="majorHAnsi" w:cstheme="majorHAnsi"/>
          <w:sz w:val="24"/>
          <w:szCs w:val="24"/>
          <w:lang w:val="en-GB" w:eastAsia="en-GB"/>
        </w:rPr>
        <w:t xml:space="preserve"> 2021 (DOI 10.1007/s00330-021-08364-0) or the </w:t>
      </w:r>
      <w:proofErr w:type="spellStart"/>
      <w:r>
        <w:rPr>
          <w:rFonts w:asciiTheme="majorHAnsi" w:eastAsia="Times New Roman" w:hAnsiTheme="majorHAnsi" w:cstheme="majorHAnsi"/>
          <w:sz w:val="24"/>
          <w:szCs w:val="24"/>
          <w:lang w:val="en-GB" w:eastAsia="en-GB"/>
        </w:rPr>
        <w:t>InShape</w:t>
      </w:r>
      <w:proofErr w:type="spellEnd"/>
      <w:r>
        <w:rPr>
          <w:rFonts w:asciiTheme="majorHAnsi" w:eastAsia="Times New Roman" w:hAnsiTheme="majorHAnsi" w:cstheme="majorHAnsi"/>
          <w:sz w:val="24"/>
          <w:szCs w:val="24"/>
          <w:lang w:val="en-GB" w:eastAsia="en-GB"/>
        </w:rPr>
        <w:t xml:space="preserve"> IV study. Such an analysis could clarify whether features of chronic disease were already visible at the time of the index PE.</w:t>
      </w:r>
    </w:p>
    <w:p w14:paraId="11FDDD40" w14:textId="6E3771DF" w:rsidR="00C247F5" w:rsidRPr="00C247F5" w:rsidRDefault="00C247F5">
      <w:pPr>
        <w:spacing w:before="100" w:beforeAutospacing="1" w:after="100" w:afterAutospacing="1" w:line="240" w:lineRule="auto"/>
        <w:rPr>
          <w:rFonts w:asciiTheme="majorHAnsi" w:eastAsia="Times New Roman" w:hAnsiTheme="majorHAnsi" w:cstheme="majorHAnsi"/>
          <w:color w:val="153D63" w:themeColor="text2" w:themeTint="E6"/>
          <w:sz w:val="24"/>
          <w:szCs w:val="24"/>
          <w:lang w:val="en-GB" w:eastAsia="en-GB"/>
        </w:rPr>
      </w:pPr>
      <w:r>
        <w:rPr>
          <w:rFonts w:asciiTheme="majorHAnsi" w:eastAsia="Times New Roman" w:hAnsiTheme="majorHAnsi" w:cstheme="majorHAnsi"/>
          <w:color w:val="153D63" w:themeColor="text2" w:themeTint="E6"/>
          <w:sz w:val="24"/>
          <w:szCs w:val="24"/>
          <w:lang w:val="en-GB" w:eastAsia="en-GB"/>
        </w:rPr>
        <w:t xml:space="preserve">The authors agree with the reviewer that this would be an interesting and worthwhile area to explore. Because splenectomy status is readily apparent from looking at chest CT images (being in the upper abdomen, the spleen is imaged on CT chest studies, and the presence or absence of the spleen is readily apparent on CTPA </w:t>
      </w:r>
      <w:r w:rsidR="00DE7F2B">
        <w:rPr>
          <w:rFonts w:asciiTheme="majorHAnsi" w:eastAsia="Times New Roman" w:hAnsiTheme="majorHAnsi" w:cstheme="majorHAnsi"/>
          <w:color w:val="153D63" w:themeColor="text2" w:themeTint="E6"/>
          <w:sz w:val="24"/>
          <w:szCs w:val="24"/>
          <w:lang w:val="en-GB" w:eastAsia="en-GB"/>
        </w:rPr>
        <w:t>images</w:t>
      </w:r>
      <w:r>
        <w:rPr>
          <w:rFonts w:asciiTheme="majorHAnsi" w:eastAsia="Times New Roman" w:hAnsiTheme="majorHAnsi" w:cstheme="majorHAnsi"/>
          <w:color w:val="153D63" w:themeColor="text2" w:themeTint="E6"/>
          <w:sz w:val="24"/>
          <w:szCs w:val="24"/>
          <w:lang w:val="en-GB" w:eastAsia="en-GB"/>
        </w:rPr>
        <w:t xml:space="preserve">), this analysis would be unblinded and thus subject to significant bias. To properly perform this analysis in a blinded manner would require radiology to reformat the CT images to remove upper abdominal cuts. While potentially feasible, this would require a significant amount of work and time, and thus the authors do not feel that it is possible to perform this analysis as part of the present work. We hope to be able to do this as part of a future project. </w:t>
      </w:r>
    </w:p>
    <w:p w14:paraId="60CFEAC1" w14:textId="77777777" w:rsidR="00EC49DC" w:rsidRDefault="002E6C1D">
      <w:pPr>
        <w:spacing w:before="100" w:beforeAutospacing="1" w:after="100" w:afterAutospacing="1" w:line="240" w:lineRule="auto"/>
        <w:rPr>
          <w:rFonts w:asciiTheme="majorHAnsi" w:eastAsia="Times New Roman" w:hAnsiTheme="majorHAnsi" w:cstheme="majorHAnsi"/>
          <w:sz w:val="24"/>
          <w:szCs w:val="24"/>
          <w:lang w:val="en-GB" w:eastAsia="en-GB"/>
        </w:rPr>
      </w:pPr>
      <w:r>
        <w:rPr>
          <w:rFonts w:asciiTheme="majorHAnsi" w:eastAsia="Times New Roman" w:hAnsiTheme="majorHAnsi" w:cstheme="majorHAnsi"/>
          <w:b/>
          <w:bCs/>
          <w:sz w:val="27"/>
          <w:szCs w:val="27"/>
          <w:lang w:val="en-GB" w:eastAsia="en-GB"/>
        </w:rPr>
        <w:t>Overall Assessment</w:t>
      </w:r>
    </w:p>
    <w:p w14:paraId="236DD24B" w14:textId="77777777" w:rsidR="00EC49DC" w:rsidRDefault="002E6C1D">
      <w:pPr>
        <w:spacing w:before="100" w:beforeAutospacing="1" w:after="100" w:afterAutospacing="1" w:line="240" w:lineRule="auto"/>
        <w:rPr>
          <w:rFonts w:asciiTheme="majorHAnsi" w:eastAsia="Times New Roman" w:hAnsiTheme="majorHAnsi" w:cstheme="majorHAnsi"/>
          <w:sz w:val="24"/>
          <w:szCs w:val="24"/>
          <w:lang w:val="en-GB" w:eastAsia="en-GB"/>
        </w:rPr>
      </w:pPr>
      <w:r>
        <w:rPr>
          <w:rFonts w:asciiTheme="majorHAnsi" w:eastAsia="Times New Roman" w:hAnsiTheme="majorHAnsi" w:cstheme="majorHAnsi"/>
          <w:sz w:val="24"/>
          <w:szCs w:val="24"/>
          <w:lang w:val="en-GB" w:eastAsia="en-GB"/>
        </w:rPr>
        <w:t xml:space="preserve">This is a carefully executed and clinically relevant study that strengthens the association between splenectomy and subsequent CTEPH while exploring possible differences in acute PE phenotype. The main findings are sound and timely, though clarity would improve by refining risk-factor terminology, simplifying transitions between </w:t>
      </w:r>
      <w:proofErr w:type="spellStart"/>
      <w:r>
        <w:rPr>
          <w:rFonts w:asciiTheme="majorHAnsi" w:eastAsia="Times New Roman" w:hAnsiTheme="majorHAnsi" w:cstheme="majorHAnsi"/>
          <w:sz w:val="24"/>
          <w:szCs w:val="24"/>
          <w:lang w:val="en-GB" w:eastAsia="en-GB"/>
        </w:rPr>
        <w:t>substudies</w:t>
      </w:r>
      <w:proofErr w:type="spellEnd"/>
      <w:r>
        <w:rPr>
          <w:rFonts w:asciiTheme="majorHAnsi" w:eastAsia="Times New Roman" w:hAnsiTheme="majorHAnsi" w:cstheme="majorHAnsi"/>
          <w:sz w:val="24"/>
          <w:szCs w:val="24"/>
          <w:lang w:val="en-GB" w:eastAsia="en-GB"/>
        </w:rPr>
        <w:t>, and contextualizing novelty relative to prior publications. With these revisions, the paper would provide an even more coherent and valuable contribution to understanding post-splenectomy pulmonary vascular disease.</w:t>
      </w:r>
    </w:p>
    <w:p w14:paraId="47295B77" w14:textId="77777777" w:rsidR="00EC49DC" w:rsidRDefault="00EC49DC">
      <w:pPr>
        <w:rPr>
          <w:rFonts w:asciiTheme="majorHAnsi" w:hAnsiTheme="majorHAnsi" w:cstheme="majorHAnsi"/>
          <w:lang w:val="en-GB"/>
        </w:rPr>
      </w:pPr>
    </w:p>
    <w:sectPr w:rsidR="00EC49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9DC"/>
    <w:rsid w:val="00092E6E"/>
    <w:rsid w:val="000C4F63"/>
    <w:rsid w:val="002E6C1D"/>
    <w:rsid w:val="00596321"/>
    <w:rsid w:val="006B2FD2"/>
    <w:rsid w:val="008A1FC4"/>
    <w:rsid w:val="0099518F"/>
    <w:rsid w:val="00C247F5"/>
    <w:rsid w:val="00DE7F2B"/>
    <w:rsid w:val="00EC49DC"/>
    <w:rsid w:val="00F37AC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34522"/>
  <w15:chartTrackingRefBased/>
  <w15:docId w15:val="{445A0618-A9E2-4D72-A46C-9E46E69F3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aliases w:val="Heading 3 Char"/>
    <w:basedOn w:val="Normal"/>
    <w:link w:val="Heading3Char1"/>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1">
    <w:name w:val="Heading 3 Char1"/>
    <w:aliases w:val="Heading 3 Char Char"/>
    <w:basedOn w:val="DefaultParagraphFont"/>
    <w:link w:val="Heading3"/>
    <w:uiPriority w:val="9"/>
    <w:rPr>
      <w:rFonts w:ascii="Times New Roman" w:eastAsia="Times New Roman" w:hAnsi="Times New Roman" w:cs="Times New Roman"/>
      <w:b/>
      <w:bCs/>
      <w:sz w:val="27"/>
      <w:szCs w:val="27"/>
      <w:lang w:val="en-GB" w:eastAsia="en-GB"/>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relative">
    <w:name w:val="relative"/>
    <w:basedOn w:val="DefaultParagraphFont"/>
  </w:style>
  <w:style w:type="paragraph" w:customStyle="1" w:styleId="not-prose">
    <w:name w:val="not-prose"/>
    <w:basedOn w:val="Normal"/>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ListParagraph">
    <w:name w:val="List Paragraph"/>
    <w:basedOn w:val="Normal"/>
    <w:uiPriority w:val="34"/>
    <w:qFormat/>
    <w:rsid w:val="000C4F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9BBDD-622D-44E4-90D0-683F5CDAD5CC}">
  <ds:schemaRefs>
    <ds:schemaRef ds:uri="http://schemas.openxmlformats.org/officeDocument/2006/bibliography"/>
  </ds:schemaRefs>
</ds:datastoreItem>
</file>

<file path=docMetadata/LabelInfo.xml><?xml version="1.0" encoding="utf-8"?>
<clbl:labelList xmlns:clbl="http://schemas.microsoft.com/office/2020/mipLabelMetadata">
  <clbl:label id="{1a229230-59b3-4fd8-af36-138931aade8d}" enabled="1" method="Standard" siteId="{a79016de-bdd0-4e47-91f4-79416ab912ad}" contentBits="0"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3</Pages>
  <Words>1333</Words>
  <Characters>6933</Characters>
  <Application>Microsoft Office Word</Application>
  <DocSecurity>0</DocSecurity>
  <Lines>203</Lines>
  <Paragraphs>172</Paragraphs>
  <ScaleCrop>false</ScaleCrop>
  <HeadingPairs>
    <vt:vector size="2" baseType="variant">
      <vt:variant>
        <vt:lpstr>Title</vt:lpstr>
      </vt:variant>
      <vt:variant>
        <vt:i4>1</vt:i4>
      </vt:variant>
    </vt:vector>
  </HeadingPairs>
  <TitlesOfParts>
    <vt:vector size="1" baseType="lpstr">
      <vt:lpstr/>
    </vt:vector>
  </TitlesOfParts>
  <Company>Intermountain Healthcare</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Dodson</dc:creator>
  <cp:keywords/>
  <dc:description/>
  <cp:lastModifiedBy>Mark Dodson</cp:lastModifiedBy>
  <cp:revision>4</cp:revision>
  <dcterms:created xsi:type="dcterms:W3CDTF">2025-11-21T16:00:00Z</dcterms:created>
  <dcterms:modified xsi:type="dcterms:W3CDTF">2025-11-21T21:14:00Z</dcterms:modified>
</cp:coreProperties>
</file>