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Titre1"/>
      </w:pPr>
      <w:r>
        <w:t xml:space="preserve">Table 2. Baseline summary by CO2 category within ABG and VBG cohorts</w:t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Baseline summary by CO2 category within ABG and VBG cohorts**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618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ABG (PaCO2)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VBG (PvCO2)</w:t>
            </w:r>
          </w:p>
        </w:tc>
      </w:tr>
      <w:tr>
        <w:trPr>
          <w:trHeight w:val="808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Variable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83,882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50,114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53,246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Normal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69,293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Low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40,737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High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  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br/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 = 39,633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60.8 ± 16.9; 0.0/83,882.0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60.6 ± 17.5; 0.0/50,114.0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62.3 ± 16.3; 0.0/53,246.0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58.0 ± 17.9; 0.0/69,293.0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58.2 ± 17.6; 0.0/40,737.0 missing (0.0%)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16.6; 0.0/39,633.0 missing (0.0%)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29.0 ± 6.9; 48,349.0/83,882.0 missing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28.1 ± 6.8; 29,752.0/50,114.0 missing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29.8 ± 7.9; 31,221.0/53,246.0 missing (58.6%)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28.8 ± 7.1; 47,573.0/69,293.0 missing (68.7%)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28.5 ± 7.2; 25,182.0/40,737.0 missing (61.8%)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29.3 ± 8.0; 27,898.0/39,633.0 missing (70.4%)</w:t>
            </w:r>
          </w:p>
        </w:tc>
      </w:tr>
      <w:tr>
        <w:trPr>
          <w:trHeight w:val="577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36,696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23,100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25,087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32,085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18,831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18,371 (46%)</w:t>
            </w:r>
          </w:p>
        </w:tc>
      </w:tr>
      <w:tr>
        <w:trPr>
          <w:trHeight w:val="616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47,186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27,014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28,159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37,208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21,906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21,262 (54%)</w:t>
            </w:r>
          </w:p>
        </w:tc>
      </w:tr>
      <w:tr>
        <w:trPr>
          <w:trHeight w:val="616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Race/Ethnicity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White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54,280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30,194 (60%)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36,667 (69%)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36,918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20,482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22,660 (57%)</w:t>
            </w:r>
          </w:p>
        </w:tc>
      </w:tr>
      <w:tr>
        <w:trPr>
          <w:trHeight w:val="616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Black or African American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11,815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7,938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7,526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12,878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7,125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7,880 (20%)</w:t>
            </w:r>
          </w:p>
        </w:tc>
      </w:tr>
      <w:tr>
        <w:trPr>
          <w:trHeight w:val="616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Hispanic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4,661 (5.6%)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2,965 (5.9%)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2,595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4,970 (7.2%)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3,637 (8.9%)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2,211 (5.6%)</w:t>
            </w:r>
          </w:p>
        </w:tc>
      </w:tr>
      <w:tr>
        <w:trPr>
          <w:trHeight w:val="616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Asian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1,622 (1.9%)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1,180 (2.4%)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726 (1.4%)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1,490 (2.2%)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873 (2.1%)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606 (1.5%)</w:t>
            </w:r>
          </w:p>
        </w:tc>
      </w:tr>
      <w:tr>
        <w:trPr>
          <w:trHeight w:val="616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American Indian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925 (1.1%)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890 (1.8%)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269 (0.5%)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683 (1.0%)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1,033 (2.5%)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211 (0.5%)</w:t>
            </w:r>
          </w:p>
        </w:tc>
      </w:tr>
      <w:tr>
        <w:trPr>
          <w:trHeight w:val="616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Pacific Islander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91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52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68 (&lt;0.1%)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 (0.1%)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22 (&lt;0.1%)</w:t>
            </w:r>
          </w:p>
        </w:tc>
      </w:tr>
      <w:tr>
        <w:trPr>
          <w:trHeight w:val="616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Unknown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10,488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6,872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5,411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12,286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7,542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6,043 (15%)</w:t>
            </w:r>
          </w:p>
        </w:tc>
      </w:tr>
      <w:tr>
        <w:trPr>
          <w:trHeight w:val="573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Location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South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45,740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27,885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29,798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21,558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10,384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13,550 (34%)</w:t>
            </w:r>
          </w:p>
        </w:tc>
      </w:tr>
      <w:tr>
        <w:trPr>
          <w:trHeight w:val="616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Northeast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15,645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8,380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12,212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31,121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15,352 (38%)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17,436 (44%)</w:t>
            </w:r>
          </w:p>
        </w:tc>
      </w:tr>
      <w:tr>
        <w:trPr>
          <w:trHeight w:val="616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Midwest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7,608 (9.1%)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3,464 (6.9%)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4,475 (8.4%)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6,251 (9.0%)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3,302 (8.1%)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4,027 (10%)</w:t>
            </w:r>
          </w:p>
        </w:tc>
      </w:tr>
      <w:tr>
        <w:trPr>
          <w:trHeight w:val="61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West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14,889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10,385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6,761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10,363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11,699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4,620 (12%)</w:t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12,555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5,926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11,193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10,226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6,140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8,213 (21%)</w:t>
            </w:r>
          </w:p>
        </w:tc>
      </w:tr>
      <w:tr>
        <w:trPr>
          <w:trHeight w:val="616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Asthma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9,013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4,613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7,691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8,670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5,320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5,973 (15%)</w:t>
            </w:r>
          </w:p>
        </w:tc>
      </w:tr>
      <w:tr>
        <w:trPr>
          <w:trHeight w:val="616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COPD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15,008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7,244 (14%)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17,789 (33%)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10,964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6,276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12,065 (30%)</w:t>
            </w:r>
          </w:p>
        </w:tc>
      </w:tr>
      <w:tr>
        <w:trPr>
          <w:trHeight w:val="616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CHF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16,686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9,743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15,259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13,107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8,364 (21%)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11,023 (28%)</w:t>
            </w:r>
          </w:p>
        </w:tc>
      </w:tr>
      <w:tr>
        <w:trPr>
          <w:trHeight w:val="616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NMD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4,089 (4.9%)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1,987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2,272 (4.3%)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2,280 (3.3%)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1,632 (4.0%)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1,531 (3.9%)</w:t>
            </w:r>
          </w:p>
        </w:tc>
      </w:tr>
      <w:tr>
        <w:trPr>
          <w:trHeight w:val="616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PHTN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6,988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3,942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6,930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5,467 (7.9%)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3,445 (8.5%)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5,071 (13%)</w:t>
            </w:r>
          </w:p>
        </w:tc>
      </w:tr>
      <w:tr>
        <w:trPr>
          <w:trHeight w:val="616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CKD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15,668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10,050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10,900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12,858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9,264 (23%)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7,933 (20%)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24,051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14,713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17,183 (32%)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21,156 (31%)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13,845 (34%)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12,780 (32%)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Encounter Type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1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Emergency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12,293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7,709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9,012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24,449 (35%)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11,786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11,087 (28%)</w:t>
            </w:r>
          </w:p>
        </w:tc>
      </w:tr>
      <w:tr>
        <w:trPr>
          <w:trHeight w:val="616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Inpatient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71,589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42,405 (85%)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44,234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44,844 (65%)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28,951 (71%)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28,546 (72%)</w:t>
            </w:r>
          </w:p>
        </w:tc>
      </w:tr>
      <w:tr>
        <w:trPr>
          <w:trHeight w:val="621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PaCO2 (mmHg)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39.7 ± 3.0; 0.0/83,882.0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29.2 ± 4.6; 0.0/50,114.0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59.7 ± 20.8; 0.0/53,246.0 missing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</w:tr>
      <w:tr>
        <w:trPr>
          <w:trHeight w:val="621" w:hRule="auto"/>
        </w:trPr>
        body31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trike w:val="false"/>
                <w:sz w:val="16"/>
                <w:szCs w:val="16"/>
                <w:color w:val="000000"/>
              </w:rPr>
              <w:t xml:space="preserve">PvCO2 (mmHg)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/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44.7 ± 3.0; 0.0/69,293.0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33.4 ± 5.0; 0.0/40,737.0 missing (0.0%)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61.3 ± 12.7; 0.0/39,633.0 missing (0.0%)</w:t>
            </w:r>
          </w:p>
        </w:tc>
      </w:tr>
      <w:tr>
        <w:trPr>
          <w:trHeight w:val="360" w:hRule="auto"/>
        </w:trPr>
        footer 1
        <w:tc>
          <w:tcPr>
            <w:gridSpan w:val="7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16"/>
                <w:szCs w:val="16"/>
                <w:color w:val="000000"/>
              </w:rPr>
              <w:t xml:space="preserve">Mean ± SD; N Missing/No. obs. missing (% Missing); n (%)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blocke</cp:lastModifiedBy>
  <cp:revision>9</cp:revision>
  <dcterms:created xsi:type="dcterms:W3CDTF">2017-02-28T11:18:00Z</dcterms:created>
  <dcterms:modified xsi:type="dcterms:W3CDTF">2026-04-16T21:49:40Z</dcterms:modified>
  <cp:category/>
</cp:coreProperties>
</file>