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1A. Baseline Characteristics by ABG Group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1A: ABG cohorts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6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515,286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328,044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187,242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59.2 ± 17.7; 0.0/515,286.0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58.1 ± 18.1; 0.0/328,044.0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61.2 ± 16.9; 0.0/187,242.0 missing (0.0%)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 ± 8.4; 293,545.0/515,286.0 missing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32.3 ± 8.7; 184,223.0/328,044.0 missing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29.0 ± 7.2; 109,322.0/187,242.0 missing (58.4%)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253,906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169,023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84,883 (45%)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261,380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159,021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102,359 (55%)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321,174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200,033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121,141 (65%)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89,697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62,418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27,279 (15%)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23,548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10,221 (5.5%)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8,408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4,880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3,528 (1.9%)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4,055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1,971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2,084 (1.1%)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 (0.1%)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57,505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34,734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22,771 (12%)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242,266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138,843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103,423 (55%)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129,446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93,209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36,237 (19%)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38,471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22,924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15,547 (8.3%)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105,103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73,068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32,035 (17%)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90,327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60,653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29,674 (16%)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69,773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48,456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21,317 (11%)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100,255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60,214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40,041 (21%)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101,458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59,770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41,688 (22%)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11,891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8,348 (4.5%)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41,714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23,854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17,860 (9.5%)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91,146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54,528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36,618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148,954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93,007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55,947 (30%)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171,727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142,713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29,014 (15%)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343,559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185,331 (56%)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158,228 (85%)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p>
      <w:pPr>
        <w:pStyle w:val="Titre1"/>
      </w:pPr>
      <w:r>
        <w:t xml:space="preserve">Table 1B. Baseline Characteristics by VBG Group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1B: VBG cohorts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69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515,286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 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365,623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VBG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149,663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59.2 ± 17.7; 0.0/515,286.0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17.8; 0.0/365,623.0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58.9 ± 17.5; 0.0/149,663.0 missing (0.0%)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 ± 8.4; 293,545.0/515,286.0 missing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31.8 ± 8.5; 192,892.0/365,623.0 missing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± 7.4; 100,653.0/149,663.0 missing (67.3%)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253,906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184,619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69,287 (46%)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261,380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181,004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80,376 (54%)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321,174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241,114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80,060 (53%)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89,697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61,814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27,883 (19%)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33,769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22,951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10,818 (7.2%)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8,408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5,439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2,969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4,055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2,128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1,927 (1.3%)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 (&lt;0.1%)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57,505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31,634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25,871 (17%)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242,266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196,774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45,492 (30%)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129,446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65,537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63,909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38,471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24,891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13,580 (9.1%)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105,103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78,421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26,682 (18%)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90,327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65,748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24,579 (16%)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69,773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49,810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19,963 (13%)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100,255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70,950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29,305 (20%)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101,458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68,964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32,494 (22%)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20,239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14,796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5,443 (3.6%)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41,714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27,731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13,983 (9.3%)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91,146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61,091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30,055 (20%)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148,954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101,173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47,781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Encounter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171,727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124,405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47,322 (32%)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343,559 (67%)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241,218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102,341 (68%)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2026-04-19T11:29:11Z</dcterms:modified>
  <cp:category/>
</cp:coreProperties>
</file>