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3,321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1,790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3,679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17.9; 0.0/5,111.0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57.5 ± 18.3; 0.0/3,321.0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17.0; 0.0/1,790.0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58.7 ± 18.2; 0.0/3,679.0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17.3; 0.0/1,432.0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 ± 8.5; 2,862.0/5,111.0 missing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32.7 ± 8.8; 1,802.0/3,321.0 missing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1,060.0/1,790.0 missing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32.2 ± 8.6; 1,915.0/3,679.0 missing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7.4; 947.0/1,432.0 missing (66.1%)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2,540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1,728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1,851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 (48%)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2,571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1,593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743 (52%)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1,116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2,409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707 (49%)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292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(2.7%)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(1.5%)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(18%)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2,385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1,962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382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 (8.7%)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 (19%)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(18%)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(3.1%)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(7.4%)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1,465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445 (31%)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1,521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(67%)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45.8 ± 13.5; 3,679.0/5,111.0 missing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45.0 ± 10.9; 2,420.0/3,321.0 missing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47.3 ± 17.0; 1,259.0/1,790.0 missing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3,679.0/3,679.0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45.8 ± 13.5; 0.0/1,432.0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43.1 ± 18.5; 3,321.0/5,111.0 missing (65.0%)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3,321.0/3,321.0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43.1 ± 18.5; 0.0/1,790.0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17.7; 2,420.0/3,679.0 missing (65.8%)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20.1; 901.0/1,432.0 missing (62.9%)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Baseline summary by hypercapnia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62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± 16.2; 0.0/545.0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17.4; 0.0/1,245.0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59.8 ± 17.2; 0.0/396.0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57.6 ± 17.3; 0.0/1,036.0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7.8; 332.0/545.0 missing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6.8; 728.0/1,245.0 missing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8.2; 272.0/396.0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 ± 7.1; 675.0/1,036.0 missing (65.2%)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(48%)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 (52%)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(47%)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(8.3%)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(3.0%)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(1.7%)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(19%)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(27%)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 (7.7%)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(21%)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(14%)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(14%)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(18%)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(2.9%)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(6.5%)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(31%)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(34%)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688 (66%)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21.3; 377.0/545.0 missing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41.9 ± 10.9; 882.0/1,245.0 missing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± 14.4; 0.0/396.0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6.6; 0.0/1,036.0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24.4; 0.0/545.0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35.4 ± 6.1; 0.0/1,245.0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54.6 ± 22.0; 231.0/396.0 missing (58.3%)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39.9 ± 17.4; 670.0/1,036.0 missing (64.7%)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2025-12-06T19:28:31Z</dcterms:modified>
  <cp:category/>
</cp:coreProperties>
</file>