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967B3" w14:textId="4A95C329" w:rsidR="00014B1A" w:rsidRDefault="00014B1A" w:rsidP="00B934C7">
      <w:pPr>
        <w:pStyle w:val="Title"/>
      </w:pPr>
      <w:r w:rsidRPr="0077289B">
        <w:rPr>
          <w:rStyle w:val="s1"/>
        </w:rPr>
        <w:t>Title:</w:t>
      </w:r>
      <w:r w:rsidRPr="0077289B">
        <w:rPr>
          <w:rStyle w:val="apple-converted-space"/>
        </w:rPr>
        <w:t> </w:t>
      </w:r>
    </w:p>
    <w:p w14:paraId="2FD8BB14" w14:textId="6E6CCE3D" w:rsidR="006B10FD" w:rsidRDefault="00C675E8" w:rsidP="00B934C7">
      <w:pPr>
        <w:rPr>
          <w:color w:val="000000"/>
        </w:rPr>
      </w:pPr>
      <w:r>
        <w:t>Propensity-weighted prognostic associations of hypercapnia by Arterial and Venous Blood Gas: A retrospective, multicenter health records study</w:t>
      </w:r>
    </w:p>
    <w:p w14:paraId="5666C251" w14:textId="579B33B8" w:rsidR="006B10FD" w:rsidRPr="00600BB9" w:rsidRDefault="006B10FD" w:rsidP="00B934C7">
      <w:pPr>
        <w:pStyle w:val="Title"/>
      </w:pPr>
      <w:r w:rsidRPr="00600BB9">
        <w:t>Authors:</w:t>
      </w:r>
    </w:p>
    <w:p w14:paraId="1FD6C457" w14:textId="5F30EBE6" w:rsidR="006B10FD" w:rsidRPr="006B10FD" w:rsidRDefault="006B10FD" w:rsidP="00B934C7">
      <w:r w:rsidRPr="006B10FD">
        <w:t>Anila Mehta MD</w:t>
      </w:r>
      <w:r w:rsidRPr="00663A2A">
        <w:rPr>
          <w:vertAlign w:val="superscript"/>
        </w:rPr>
        <w:t>1</w:t>
      </w:r>
      <w:r w:rsidRPr="006B10FD">
        <w:t>, Jeanette P. Brown MD, PhD</w:t>
      </w:r>
      <w:r w:rsidRPr="00663A2A">
        <w:rPr>
          <w:vertAlign w:val="superscript"/>
        </w:rPr>
        <w:t>2</w:t>
      </w:r>
      <w:r w:rsidRPr="006B10FD">
        <w:t>, Ramkiran Gouripeddi MBBS MSc</w:t>
      </w:r>
      <w:r w:rsidRPr="00663A2A">
        <w:rPr>
          <w:vertAlign w:val="superscript"/>
        </w:rPr>
        <w:t>3</w:t>
      </w:r>
      <w:r w:rsidRPr="006B10FD">
        <w:t>, Ithan Peltan</w:t>
      </w:r>
      <w:r w:rsidRPr="00663A2A">
        <w:rPr>
          <w:vertAlign w:val="superscript"/>
        </w:rPr>
        <w:t>4</w:t>
      </w:r>
      <w:r w:rsidRPr="006B10FD">
        <w:t>, Brian W. Locke MD, MSc</w:t>
      </w:r>
      <w:r w:rsidRPr="00663A2A">
        <w:rPr>
          <w:vertAlign w:val="superscript"/>
        </w:rPr>
        <w:t>4</w:t>
      </w:r>
    </w:p>
    <w:p w14:paraId="3FA64613" w14:textId="5A42ADC6" w:rsidR="006B10FD" w:rsidRPr="00663A2A" w:rsidRDefault="006B10FD" w:rsidP="0077289B">
      <w:pPr>
        <w:spacing w:after="0"/>
      </w:pPr>
      <w:r w:rsidRPr="00663A2A">
        <w:rPr>
          <w:vertAlign w:val="superscript"/>
        </w:rPr>
        <w:t>1</w:t>
      </w:r>
      <w:r w:rsidRPr="00663A2A">
        <w:t>University of Utah Internal Medicine Residency</w:t>
      </w:r>
    </w:p>
    <w:p w14:paraId="68DB2576" w14:textId="7A8604CA" w:rsidR="006B10FD" w:rsidRPr="00663A2A" w:rsidRDefault="006B10FD" w:rsidP="0077289B">
      <w:pPr>
        <w:spacing w:after="0"/>
      </w:pPr>
      <w:r w:rsidRPr="00663A2A">
        <w:rPr>
          <w:vertAlign w:val="superscript"/>
        </w:rPr>
        <w:t xml:space="preserve">2 </w:t>
      </w:r>
      <w:r w:rsidRPr="00663A2A">
        <w:t>Division of Pulmonary, Critical Care, and Occupational Pulmonary Medicine, University of Utah</w:t>
      </w:r>
    </w:p>
    <w:p w14:paraId="3A39028C" w14:textId="3449E19A" w:rsidR="006B10FD" w:rsidRPr="00663A2A" w:rsidRDefault="006B10FD" w:rsidP="0077289B">
      <w:pPr>
        <w:spacing w:after="0"/>
      </w:pPr>
      <w:r w:rsidRPr="00663A2A">
        <w:rPr>
          <w:shd w:val="clear" w:color="auto" w:fill="FFFFFF"/>
          <w:vertAlign w:val="superscript"/>
        </w:rPr>
        <w:t>3</w:t>
      </w:r>
      <w:r w:rsidRPr="00663A2A">
        <w:rPr>
          <w:shd w:val="clear" w:color="auto" w:fill="FFFFFF"/>
        </w:rPr>
        <w:t>Department of Biomedical Informatics, University of Utah</w:t>
      </w:r>
    </w:p>
    <w:p w14:paraId="486B0C16" w14:textId="70D75C49" w:rsidR="006B10FD" w:rsidRDefault="006B10FD" w:rsidP="0077289B">
      <w:pPr>
        <w:spacing w:after="0"/>
        <w:rPr>
          <w:shd w:val="clear" w:color="auto" w:fill="FFFFFF"/>
        </w:rPr>
      </w:pPr>
      <w:r w:rsidRPr="00663A2A">
        <w:rPr>
          <w:vertAlign w:val="superscript"/>
        </w:rPr>
        <w:t>4</w:t>
      </w:r>
      <w:r w:rsidRPr="00663A2A">
        <w:rPr>
          <w:shd w:val="clear" w:color="auto" w:fill="FFFFFF"/>
        </w:rPr>
        <w:t>Department of Pulmonary and Critical Care, Intermountain Medical Center. </w:t>
      </w:r>
    </w:p>
    <w:p w14:paraId="27DD7392" w14:textId="77777777" w:rsidR="008F3B13" w:rsidRDefault="008F3B13" w:rsidP="006B10FD">
      <w:pPr>
        <w:rPr>
          <w:color w:val="000000"/>
          <w:shd w:val="clear" w:color="auto" w:fill="FFFFFF"/>
        </w:rPr>
      </w:pPr>
    </w:p>
    <w:p w14:paraId="3334A8AF" w14:textId="207B6BF1" w:rsidR="008F3B13" w:rsidRPr="00E171A4" w:rsidRDefault="008F3B13" w:rsidP="00B934C7">
      <w:pPr>
        <w:pStyle w:val="Title"/>
        <w:rPr>
          <w:rFonts w:eastAsia="Times New Roman"/>
          <w:shd w:val="clear" w:color="auto" w:fill="FFFFFF"/>
        </w:rPr>
      </w:pPr>
      <w:r w:rsidRPr="00E171A4">
        <w:rPr>
          <w:rFonts w:eastAsia="Times New Roman"/>
          <w:shd w:val="clear" w:color="auto" w:fill="FFFFFF"/>
        </w:rPr>
        <w:t xml:space="preserve">Funding: </w:t>
      </w:r>
    </w:p>
    <w:p w14:paraId="301799FB" w14:textId="34C0BA4B" w:rsidR="008F3B13" w:rsidRPr="00355BE1" w:rsidRDefault="00600BB9" w:rsidP="00355BE1">
      <w:r w:rsidRPr="00355BE1">
        <w:t>American Thoracic Society ASPIRE Fellowship</w:t>
      </w:r>
      <w:r w:rsidR="00355BE1" w:rsidRPr="00355BE1">
        <w:t xml:space="preserve"> (B.W.L.)</w:t>
      </w:r>
    </w:p>
    <w:p w14:paraId="39CC5FF2" w14:textId="0B5A7C2F" w:rsidR="00600BB9" w:rsidRPr="00355BE1" w:rsidRDefault="00600BB9" w:rsidP="00355BE1">
      <w:r w:rsidRPr="00355BE1">
        <w:t xml:space="preserve">Intermountain Fund </w:t>
      </w:r>
      <w:r w:rsidR="00355BE1" w:rsidRPr="00355BE1">
        <w:t>(B.W.L)</w:t>
      </w:r>
    </w:p>
    <w:p w14:paraId="59774F71" w14:textId="77777777" w:rsidR="00355BE1" w:rsidRPr="00355BE1" w:rsidRDefault="00355BE1" w:rsidP="00355BE1">
      <w:r w:rsidRPr="00355BE1">
        <w:t>National Institute of General Medical Sciences R35GM151147 (I.D.P.)</w:t>
      </w:r>
    </w:p>
    <w:p w14:paraId="3F6B9155" w14:textId="1E7A78E1" w:rsidR="00355BE1" w:rsidRPr="00355BE1" w:rsidRDefault="00355BE1" w:rsidP="00355BE1">
      <w:r w:rsidRPr="00355BE1">
        <w:t xml:space="preserve">National Center for Advancing Translational Sciences UL1TR002538 and UM1TR004409 </w:t>
      </w:r>
      <w:r w:rsidRPr="00355BE1">
        <w:t>(R.G.)</w:t>
      </w:r>
    </w:p>
    <w:p w14:paraId="551E3962" w14:textId="4ABFE972" w:rsidR="006B10FD" w:rsidRPr="00E171A4" w:rsidRDefault="006B10FD" w:rsidP="00355BE1">
      <w:pPr>
        <w:pStyle w:val="Title"/>
        <w:rPr>
          <w:rFonts w:eastAsia="Times New Roman"/>
          <w:shd w:val="clear" w:color="auto" w:fill="FFFFFF"/>
        </w:rPr>
      </w:pPr>
      <w:r w:rsidRPr="00E171A4">
        <w:rPr>
          <w:rFonts w:eastAsia="Times New Roman"/>
          <w:shd w:val="clear" w:color="auto" w:fill="FFFFFF"/>
        </w:rPr>
        <w:t>Conflicts of Interest:</w:t>
      </w:r>
    </w:p>
    <w:p w14:paraId="7C6CD510" w14:textId="2FD95049" w:rsidR="006B10FD" w:rsidRDefault="007666D7" w:rsidP="006B10FD">
      <w:pPr>
        <w:rPr>
          <w:color w:val="000000"/>
          <w:shd w:val="clear" w:color="auto" w:fill="FFFFFF"/>
        </w:rPr>
      </w:pPr>
      <w:r>
        <w:rPr>
          <w:shd w:val="clear" w:color="auto" w:fill="FFFFFF"/>
        </w:rPr>
        <w:t>B.W.L. equity interest with Mountain Biometrics, a</w:t>
      </w:r>
      <w:r w:rsidR="00600BB9">
        <w:rPr>
          <w:shd w:val="clear" w:color="auto" w:fill="FFFFFF"/>
        </w:rPr>
        <w:t>n</w:t>
      </w:r>
      <w:r>
        <w:rPr>
          <w:shd w:val="clear" w:color="auto" w:fill="FFFFFF"/>
        </w:rPr>
        <w:t xml:space="preserve"> AI startup.</w:t>
      </w:r>
    </w:p>
    <w:p w14:paraId="2C614E84" w14:textId="7DA6FC0C" w:rsidR="006B10FD" w:rsidRDefault="006B10FD" w:rsidP="00B934C7">
      <w:pPr>
        <w:pStyle w:val="Title"/>
        <w:rPr>
          <w:rFonts w:eastAsia="Times New Roman"/>
          <w:shd w:val="clear" w:color="auto" w:fill="FFFFFF"/>
        </w:rPr>
      </w:pPr>
      <w:r w:rsidRPr="00E171A4">
        <w:rPr>
          <w:rFonts w:eastAsia="Times New Roman"/>
          <w:shd w:val="clear" w:color="auto" w:fill="FFFFFF"/>
        </w:rPr>
        <w:t>Author Contributions:</w:t>
      </w:r>
    </w:p>
    <w:p w14:paraId="6E9F36B2" w14:textId="28AD9829" w:rsidR="00023368" w:rsidRDefault="00600BB9" w:rsidP="00600BB9">
      <w:pPr>
        <w:rPr>
          <w:b/>
          <w:bCs/>
          <w:color w:val="000000"/>
          <w:u w:val="single"/>
          <w:shd w:val="clear" w:color="auto" w:fill="FFFFFF"/>
        </w:rPr>
      </w:pPr>
      <w:r w:rsidRPr="00B934C7">
        <w:rPr>
          <w:shd w:val="clear" w:color="auto" w:fill="FFFFFF"/>
        </w:rPr>
        <w:t xml:space="preserve">[ ] CREDIT statement. </w:t>
      </w:r>
    </w:p>
    <w:p w14:paraId="2AE6CEB7" w14:textId="754BAF13" w:rsidR="007666D7" w:rsidRDefault="00023368" w:rsidP="00B934C7">
      <w:pPr>
        <w:pStyle w:val="Title"/>
        <w:rPr>
          <w:rFonts w:eastAsia="Times New Roman"/>
          <w:shd w:val="clear" w:color="auto" w:fill="FFFFFF"/>
        </w:rPr>
      </w:pPr>
      <w:r>
        <w:rPr>
          <w:rFonts w:eastAsia="Times New Roman"/>
          <w:shd w:val="clear" w:color="auto" w:fill="FFFFFF"/>
        </w:rPr>
        <w:t xml:space="preserve">Data/Code Availability Statements: </w:t>
      </w:r>
    </w:p>
    <w:p w14:paraId="65175850" w14:textId="26B32D85" w:rsidR="00600BB9" w:rsidRPr="00600BB9" w:rsidRDefault="007666D7" w:rsidP="00600BB9">
      <w:pPr>
        <w:rPr>
          <w:color w:val="000000"/>
          <w:shd w:val="clear" w:color="auto" w:fill="FFFFFF"/>
        </w:rPr>
      </w:pPr>
      <w:r w:rsidRPr="00600BB9">
        <w:rPr>
          <w:color w:val="000000"/>
          <w:shd w:val="clear" w:color="auto" w:fill="FFFFFF"/>
        </w:rPr>
        <w:t xml:space="preserve">Statistical code is available at </w:t>
      </w:r>
      <w:hyperlink r:id="rId6" w:history="1">
        <w:r w:rsidRPr="00600BB9">
          <w:rPr>
            <w:rStyle w:val="Hyperlink"/>
            <w:u w:val="none"/>
            <w:shd w:val="clear" w:color="auto" w:fill="FFFFFF"/>
          </w:rPr>
          <w:t>https:/</w:t>
        </w:r>
        <w:r w:rsidRPr="00600BB9">
          <w:rPr>
            <w:rStyle w:val="Hyperlink"/>
            <w:u w:val="none"/>
            <w:shd w:val="clear" w:color="auto" w:fill="FFFFFF"/>
          </w:rPr>
          <w:t>/</w:t>
        </w:r>
        <w:r w:rsidRPr="00600BB9">
          <w:rPr>
            <w:rStyle w:val="Hyperlink"/>
            <w:u w:val="none"/>
            <w:shd w:val="clear" w:color="auto" w:fill="FFFFFF"/>
          </w:rPr>
          <w:t>g</w:t>
        </w:r>
        <w:r w:rsidRPr="00600BB9">
          <w:rPr>
            <w:rStyle w:val="Hyperlink"/>
            <w:u w:val="none"/>
            <w:shd w:val="clear" w:color="auto" w:fill="FFFFFF"/>
          </w:rPr>
          <w:t>ithub.com/reblocke/abg-vbg-project</w:t>
        </w:r>
      </w:hyperlink>
      <w:r w:rsidRPr="00600BB9">
        <w:rPr>
          <w:color w:val="000000"/>
          <w:shd w:val="clear" w:color="auto" w:fill="FFFFFF"/>
        </w:rPr>
        <w:t xml:space="preserve"> </w:t>
      </w:r>
    </w:p>
    <w:p w14:paraId="484565FB" w14:textId="42E60BE0" w:rsidR="0077289B" w:rsidRDefault="007666D7">
      <w:pPr>
        <w:rPr>
          <w:color w:val="000000"/>
          <w:shd w:val="clear" w:color="auto" w:fill="FFFFFF"/>
        </w:rPr>
      </w:pPr>
      <w:r w:rsidRPr="00600BB9">
        <w:rPr>
          <w:color w:val="000000"/>
          <w:shd w:val="clear" w:color="auto" w:fill="FFFFFF"/>
        </w:rPr>
        <w:t>Individual patient data is from TriNetX and is accessed under a data use agreement and cannot be shared.</w:t>
      </w:r>
      <w:r w:rsidR="0077289B">
        <w:rPr>
          <w:color w:val="000000"/>
          <w:shd w:val="clear" w:color="auto" w:fill="FFFFFF"/>
        </w:rPr>
        <w:br w:type="page"/>
      </w:r>
    </w:p>
    <w:p w14:paraId="3B6D79A7" w14:textId="0E6271EF" w:rsidR="006B10FD" w:rsidRDefault="006B10FD" w:rsidP="00B934C7">
      <w:pPr>
        <w:pStyle w:val="Title"/>
        <w:rPr>
          <w:rFonts w:eastAsia="Times New Roman"/>
          <w:shd w:val="clear" w:color="auto" w:fill="FFFFFF"/>
        </w:rPr>
      </w:pPr>
      <w:r w:rsidRPr="00E171A4">
        <w:rPr>
          <w:rFonts w:eastAsia="Times New Roman"/>
          <w:shd w:val="clear" w:color="auto" w:fill="FFFFFF"/>
        </w:rPr>
        <w:lastRenderedPageBreak/>
        <w:t>Abstract:</w:t>
      </w:r>
    </w:p>
    <w:p w14:paraId="3C0BD337" w14:textId="71B9A454" w:rsidR="003622B1" w:rsidRDefault="006B10FD" w:rsidP="00B934C7">
      <w:pPr>
        <w:pStyle w:val="Subtitle"/>
        <w:rPr>
          <w:rFonts w:eastAsia="Times New Roman"/>
          <w:shd w:val="clear" w:color="auto" w:fill="FFFFFF"/>
        </w:rPr>
      </w:pPr>
      <w:r w:rsidRPr="00B934C7">
        <w:rPr>
          <w:rFonts w:eastAsia="Times New Roman"/>
          <w:shd w:val="clear" w:color="auto" w:fill="FFFFFF"/>
        </w:rPr>
        <w:t>Background:</w:t>
      </w:r>
    </w:p>
    <w:p w14:paraId="08618967" w14:textId="353D0836" w:rsidR="002940E0" w:rsidRPr="00705FAE" w:rsidRDefault="002940E0" w:rsidP="002940E0">
      <w:r w:rsidRPr="002940E0">
        <w:t>Arterial blood gases (ABGs) are the reference standard for assessing hypercapnia but are invasive and difficult to obtain. Venous blood gases (VBGs) are more accessible and easier to integrate into routine care, yet many diagnosis and treatment pathways still depend on arterial confirmation. We compared whether arterial and venous pCO₂ showed similar associations with hypercapnic respiratory failure diagnosis, ventilatory support, and 60-day mortality after accounting for the likelihood of each test being ordered.</w:t>
      </w:r>
    </w:p>
    <w:p w14:paraId="25BA378F" w14:textId="77102D7F" w:rsidR="006B10FD" w:rsidRPr="00705FAE" w:rsidRDefault="006B10FD" w:rsidP="002940E0">
      <w:pPr>
        <w:pStyle w:val="Subtitle"/>
      </w:pPr>
      <w:r w:rsidRPr="00705FAE">
        <w:t>Methods:</w:t>
      </w:r>
    </w:p>
    <w:p w14:paraId="288FBDAF" w14:textId="0D82B658" w:rsidR="002940E0" w:rsidRPr="00705FAE" w:rsidRDefault="002940E0" w:rsidP="002940E0">
      <w:r w:rsidRPr="002940E0">
        <w:t>We conducted a multicenter retrospective encounter-level cohort study in the TriNetX research network among adults with emergency department or inpatient encounters during 2022 meeting a hypercapnia-suspicion phenotype. pCO₂ from ABG and VBG was analyzed using test-specific three-level categories and continuous spline models. To mitigate confounding from selective test ordering, we estimated inverse propensity-of-sampling weights from multivariable logistic models in multiply imputed data. Outcomes were encounter-level hypercapnic respiratory failure diagnosis, non-invasive ventilation, invasive mechanical ventilation, and 60-day all-cause mortality.</w:t>
      </w:r>
    </w:p>
    <w:p w14:paraId="46589A96" w14:textId="2C7FCDAF" w:rsidR="00BB1819" w:rsidRPr="00B934C7" w:rsidRDefault="006B10FD" w:rsidP="00B934C7">
      <w:pPr>
        <w:pStyle w:val="Subtitle"/>
        <w:rPr>
          <w:rFonts w:eastAsia="Times New Roman"/>
          <w:shd w:val="clear" w:color="auto" w:fill="FFFFFF"/>
        </w:rPr>
      </w:pPr>
      <w:r w:rsidRPr="00B934C7">
        <w:rPr>
          <w:rFonts w:eastAsia="Times New Roman"/>
          <w:shd w:val="clear" w:color="auto" w:fill="FFFFFF"/>
        </w:rPr>
        <w:t>Results:</w:t>
      </w:r>
    </w:p>
    <w:p w14:paraId="519CBB9B" w14:textId="39910031" w:rsidR="002940E0" w:rsidRPr="00705FAE" w:rsidRDefault="002940E0" w:rsidP="002940E0">
      <w:r w:rsidRPr="002940E0">
        <w:t>After inverse propensity weighting, venous and arterial pCO₂ showed broadly similar prognostic associations across all four outcomes. The analytic cohort included 515,286 encounters across 107 health systems; 187,242 had any ABG testing and 149,663 had any VBG testing. For high vs normal pCO₂, the paired ABG and VBG odds ratios were 1.33 (95% CI, 1.29-1.37) and 1.54 (1.48-1.61) for invasive mechanical ventilation, 2.64 (2.53-2.75) and 2.93 (2.77-3.10) for non-invasive ventilation, 1.40 (1.35-1.45) and 1.42 (1.35-1.48) for 60-day mortality, and 6.23 (5.97-6.50) and 8.00 (7.55-8.47) for hypercapnic respiratory failure diagnosis. Low pCO₂ showed little association with non-invasive ventilation or hypercapnic respiratory failure diagnosis for either modality, but was associated with invasive mechanical ventilation and mortality.</w:t>
      </w:r>
    </w:p>
    <w:p w14:paraId="2B6D0F06" w14:textId="7FF1B149" w:rsidR="00E41283" w:rsidRPr="00B934C7" w:rsidRDefault="006B10FD" w:rsidP="00B934C7">
      <w:pPr>
        <w:pStyle w:val="Subtitle"/>
        <w:rPr>
          <w:rFonts w:eastAsia="Times New Roman"/>
          <w:shd w:val="clear" w:color="auto" w:fill="FFFFFF"/>
        </w:rPr>
      </w:pPr>
      <w:r w:rsidRPr="00B934C7">
        <w:rPr>
          <w:rFonts w:eastAsia="Times New Roman"/>
          <w:shd w:val="clear" w:color="auto" w:fill="FFFFFF"/>
        </w:rPr>
        <w:t>Conclusions:</w:t>
      </w:r>
    </w:p>
    <w:p w14:paraId="7C4834CA" w14:textId="56AEB3F1" w:rsidR="0077289B" w:rsidRDefault="00C073DB">
      <w:r w:rsidRPr="00C073DB">
        <w:t>In this multicenter encounter-level cohort, venous and arterial pCO₂ showed broadly similar associations with ventilatory support, coded hypercapnic respiratory failure, and 60-day mortality after accounting for differential test ordering. These findings are consistent with venous-based assessment as a plausible patient-centered approach in some settings where arterial confirmation is difficult or burdensome.</w:t>
      </w:r>
      <w:r w:rsidR="0077289B">
        <w:br w:type="page"/>
      </w:r>
    </w:p>
    <w:p w14:paraId="32A41C4B" w14:textId="70FA95D6" w:rsidR="00014B1A" w:rsidRDefault="00014B1A" w:rsidP="00B934C7">
      <w:pPr>
        <w:pStyle w:val="Title"/>
      </w:pPr>
      <w:commentRangeStart w:id="0"/>
      <w:r w:rsidRPr="00656FB1">
        <w:rPr>
          <w:rStyle w:val="s1"/>
        </w:rPr>
        <w:lastRenderedPageBreak/>
        <w:t>Introduction:</w:t>
      </w:r>
      <w:r w:rsidRPr="00656FB1">
        <w:rPr>
          <w:rStyle w:val="apple-converted-space"/>
        </w:rPr>
        <w:t> </w:t>
      </w:r>
      <w:commentRangeEnd w:id="0"/>
      <w:r w:rsidR="002C4D06">
        <w:rPr>
          <w:rStyle w:val="CommentReference"/>
          <w:sz w:val="24"/>
          <w:szCs w:val="22"/>
        </w:rPr>
        <w:commentReference w:id="0"/>
      </w:r>
    </w:p>
    <w:p w14:paraId="50F2BAE3" w14:textId="5FC80D6D" w:rsidR="00BD1FE2" w:rsidRDefault="00BD1FE2" w:rsidP="00B934C7">
      <w:pPr>
        <w:spacing w:after="240"/>
      </w:pPr>
      <w:r w:rsidRPr="00BD1FE2">
        <w:t xml:space="preserve">Hypercapnic respiratory failure is associated with substantial symptoms, </w:t>
      </w:r>
      <w:commentRangeStart w:id="1"/>
      <w:r w:rsidR="0013144F">
        <w:t>healthcare use</w:t>
      </w:r>
      <w:commentRangeEnd w:id="1"/>
      <w:r w:rsidR="0013144F" w:rsidRPr="00BD1FE2">
        <w:rPr>
          <w:rStyle w:val="CommentReference"/>
          <w:sz w:val="24"/>
          <w:szCs w:val="24"/>
        </w:rPr>
        <w:commentReference w:id="1"/>
      </w:r>
      <w:r w:rsidRPr="00BD1FE2">
        <w:t xml:space="preserve">, and </w:t>
      </w:r>
      <w:commentRangeStart w:id="2"/>
      <w:commentRangeStart w:id="3"/>
      <w:r w:rsidRPr="00BD1FE2">
        <w:t>mortality ris</w:t>
      </w:r>
      <w:commentRangeEnd w:id="2"/>
      <w:r w:rsidRPr="00BD1FE2">
        <w:rPr>
          <w:rStyle w:val="CommentReference"/>
          <w:sz w:val="24"/>
          <w:szCs w:val="24"/>
        </w:rPr>
        <w:commentReference w:id="2"/>
      </w:r>
      <w:commentRangeEnd w:id="3"/>
      <w:r w:rsidR="0013144F" w:rsidRPr="00BD1FE2">
        <w:rPr>
          <w:rStyle w:val="CommentReference"/>
          <w:sz w:val="24"/>
          <w:szCs w:val="24"/>
        </w:rPr>
        <w:commentReference w:id="3"/>
      </w:r>
      <w:r w:rsidRPr="00BD1FE2">
        <w:t>k, but reliable recognition still nominally depends on arterial blood gas testing. Because arterial sampling is invasive, painful, and technically demanding</w:t>
      </w:r>
      <w:r w:rsidR="006A2AB3">
        <w:fldChar w:fldCharType="begin"/>
      </w:r>
      <w:r w:rsidR="006A2AB3">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Medicine","note":"PMID: 40183604\nPMCID: PMC12406756","page":"1002-1004","PMID":"40183604","PMCID":"PMC12406756","publisher":"John Wiley &amp; Sons, Ltd","title":"Things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A2AB3">
        <w:fldChar w:fldCharType="separate"/>
      </w:r>
      <w:r w:rsidR="006A2AB3" w:rsidRPr="000329AB">
        <w:rPr>
          <w:vertAlign w:val="superscript"/>
        </w:rPr>
        <w:t>1</w:t>
      </w:r>
      <w:r w:rsidR="006A2AB3">
        <w:fldChar w:fldCharType="end"/>
      </w:r>
      <w:r w:rsidRPr="00BD1FE2">
        <w:t xml:space="preserve">, it is often used sparingly, which may reduce the consistency with which hypercapnia is recognized in routine </w:t>
      </w:r>
      <w:commentRangeStart w:id="4"/>
      <w:r w:rsidRPr="00BD1FE2">
        <w:t>care</w:t>
      </w:r>
      <w:commentRangeEnd w:id="4"/>
      <w:r w:rsidR="002C4D06" w:rsidRPr="00BD1FE2">
        <w:rPr>
          <w:rStyle w:val="CommentReference"/>
          <w:sz w:val="24"/>
          <w:szCs w:val="24"/>
        </w:rPr>
        <w:commentReference w:id="4"/>
      </w:r>
      <w:r w:rsidRPr="00BD1FE2">
        <w:t xml:space="preserve">. By contrast, venous blood gases are easier to obtain, are readily integrated into routine blood-draw workflows, and are already used in some clinical settings as a </w:t>
      </w:r>
      <w:commentRangeStart w:id="5"/>
      <w:commentRangeStart w:id="6"/>
      <w:r w:rsidRPr="00BD1FE2">
        <w:t>practical alternative</w:t>
      </w:r>
      <w:commentRangeEnd w:id="5"/>
      <w:r w:rsidR="00C82313" w:rsidRPr="00BD1FE2">
        <w:rPr>
          <w:rStyle w:val="CommentReference"/>
          <w:sz w:val="24"/>
          <w:szCs w:val="24"/>
        </w:rPr>
        <w:commentReference w:id="5"/>
      </w:r>
      <w:commentRangeEnd w:id="6"/>
      <w:r w:rsidR="00FF620B" w:rsidRPr="00BD1FE2">
        <w:rPr>
          <w:rStyle w:val="CommentReference"/>
          <w:sz w:val="24"/>
          <w:szCs w:val="24"/>
        </w:rPr>
        <w:commentReference w:id="6"/>
      </w:r>
      <w:r w:rsidRPr="00BD1FE2">
        <w:t xml:space="preserve">. If venous pCO₂ can identify patients who are likely to require intervention as well as arterial PaCO₂, it could support more reliable and more patient-centered recognition of hypercapnia, with arterial sampling reserved for cases in which it would alter </w:t>
      </w:r>
      <w:commentRangeStart w:id="7"/>
      <w:r w:rsidRPr="00BD1FE2">
        <w:t>management</w:t>
      </w:r>
      <w:commentRangeEnd w:id="7"/>
      <w:r w:rsidR="003747D2" w:rsidRPr="00BD1FE2">
        <w:rPr>
          <w:rStyle w:val="CommentReference"/>
          <w:sz w:val="24"/>
          <w:szCs w:val="24"/>
        </w:rPr>
        <w:commentReference w:id="7"/>
      </w:r>
      <w:r w:rsidRPr="00BD1FE2">
        <w:t>.</w:t>
      </w:r>
    </w:p>
    <w:p w14:paraId="5939B71A" w14:textId="003AE2D4" w:rsidR="006A2AB3" w:rsidRDefault="006A2AB3" w:rsidP="006A2AB3">
      <w:pPr>
        <w:spacing w:after="240"/>
      </w:pPr>
      <w:r w:rsidRPr="006A2AB3">
        <w:t>The literature supporting venous blood gas</w:t>
      </w:r>
      <w:r>
        <w:t xml:space="preserve"> (VBG)</w:t>
      </w:r>
      <w:r w:rsidRPr="006A2AB3">
        <w:t xml:space="preserve"> use is substantial but incomplete. Prior investigations have primarily examined </w:t>
      </w:r>
      <w:r>
        <w:t>a</w:t>
      </w:r>
      <w:r>
        <w:t xml:space="preserve">nalytic </w:t>
      </w:r>
      <w:commentRangeStart w:id="8"/>
      <w:commentRangeStart w:id="9"/>
      <w:r>
        <w:t>agreement with arterial pCO</w:t>
      </w:r>
      <w:commentRangeEnd w:id="8"/>
      <w:r w:rsidR="002C4D06">
        <w:rPr>
          <w:rStyle w:val="CommentReference"/>
          <w:sz w:val="24"/>
          <w:szCs w:val="24"/>
        </w:rPr>
        <w:commentReference w:id="8"/>
      </w:r>
      <w:commentRangeEnd w:id="9"/>
      <w:r w:rsidR="002C4D06">
        <w:rPr>
          <w:rStyle w:val="CommentReference"/>
          <w:sz w:val="24"/>
          <w:szCs w:val="24"/>
        </w:rPr>
        <w:commentReference w:id="9"/>
      </w:r>
      <w:r>
        <w:t xml:space="preserve">₂, </w:t>
      </w:r>
      <w:commentRangeStart w:id="10"/>
      <w:commentRangeStart w:id="11"/>
      <w:r>
        <w:t>arterialization formulas</w:t>
      </w:r>
      <w:commentRangeEnd w:id="10"/>
      <w:r w:rsidR="002C4D06">
        <w:rPr>
          <w:rStyle w:val="CommentReference"/>
          <w:sz w:val="24"/>
          <w:szCs w:val="24"/>
        </w:rPr>
        <w:commentReference w:id="10"/>
      </w:r>
      <w:commentRangeEnd w:id="11"/>
      <w:r w:rsidR="003747D2">
        <w:rPr>
          <w:rStyle w:val="CommentReference"/>
          <w:sz w:val="24"/>
          <w:szCs w:val="24"/>
        </w:rPr>
        <w:commentReference w:id="11"/>
      </w:r>
      <w:r>
        <w:t xml:space="preserve">, and </w:t>
      </w:r>
      <w:commentRangeStart w:id="12"/>
      <w:commentRangeStart w:id="13"/>
      <w:r>
        <w:t>screening performance using ABG as the reference standard</w:t>
      </w:r>
      <w:commentRangeEnd w:id="12"/>
      <w:r w:rsidR="002C4D06">
        <w:rPr>
          <w:rStyle w:val="CommentReference"/>
          <w:sz w:val="24"/>
          <w:szCs w:val="24"/>
        </w:rPr>
        <w:commentReference w:id="12"/>
      </w:r>
      <w:commentRangeEnd w:id="13"/>
      <w:r w:rsidR="003747D2">
        <w:rPr>
          <w:rStyle w:val="CommentReference"/>
          <w:sz w:val="24"/>
          <w:szCs w:val="24"/>
        </w:rPr>
        <w:commentReference w:id="13"/>
      </w:r>
      <w:r>
        <w:t>.</w:t>
      </w:r>
      <w:r w:rsidRPr="006A2AB3">
        <w:t xml:space="preserve"> These studies have yielded mixed results, with some suggesting close agreement or high sensitivity in selected settings and others showing enough variability to </w:t>
      </w:r>
      <w:commentRangeStart w:id="14"/>
      <w:commentRangeStart w:id="15"/>
      <w:commentRangeStart w:id="16"/>
      <w:r w:rsidRPr="006A2AB3">
        <w:t>question analytic interchangeability</w:t>
      </w:r>
      <w:commentRangeEnd w:id="14"/>
      <w:r w:rsidR="002C4D06" w:rsidRPr="006A2AB3">
        <w:rPr>
          <w:rStyle w:val="CommentReference"/>
          <w:sz w:val="24"/>
          <w:szCs w:val="24"/>
        </w:rPr>
        <w:commentReference w:id="14"/>
      </w:r>
      <w:commentRangeEnd w:id="15"/>
      <w:r w:rsidR="00725035" w:rsidRPr="006A2AB3">
        <w:rPr>
          <w:rStyle w:val="CommentReference"/>
          <w:sz w:val="24"/>
          <w:szCs w:val="24"/>
        </w:rPr>
        <w:commentReference w:id="15"/>
      </w:r>
      <w:commentRangeEnd w:id="16"/>
      <w:r w:rsidR="003747D2" w:rsidRPr="006A2AB3">
        <w:rPr>
          <w:rStyle w:val="CommentReference"/>
          <w:sz w:val="24"/>
          <w:szCs w:val="24"/>
        </w:rPr>
        <w:commentReference w:id="16"/>
      </w:r>
      <w:r w:rsidRPr="006A2AB3">
        <w:t xml:space="preserve">. </w:t>
      </w:r>
      <w:r w:rsidR="008B3B15" w:rsidRPr="008B3B15">
        <w:t xml:space="preserve">Yet analytic interchangeability is not the decision-relevant target. The clinically relevant question is whether venous pCO₂ distinguishes patients at higher risk of treatment escalation, ventilatory support, or death in a manner similar to </w:t>
      </w:r>
      <w:commentRangeStart w:id="17"/>
      <w:r w:rsidR="008B3B15" w:rsidRPr="008B3B15">
        <w:t xml:space="preserve">arterial pCO₂. </w:t>
      </w:r>
      <w:commentRangeEnd w:id="17"/>
      <w:r w:rsidR="00FF620B" w:rsidRPr="008B3B15">
        <w:rPr>
          <w:rStyle w:val="CommentReference"/>
          <w:sz w:val="24"/>
          <w:szCs w:val="24"/>
        </w:rPr>
        <w:commentReference w:id="17"/>
      </w:r>
      <w:commentRangeStart w:id="18"/>
      <w:r w:rsidR="008B3B15" w:rsidRPr="008B3B15">
        <w:t>That question remains unresolved.</w:t>
      </w:r>
      <w:commentRangeEnd w:id="18"/>
      <w:r w:rsidR="003747D2">
        <w:rPr>
          <w:rStyle w:val="CommentReference"/>
          <w:sz w:val="24"/>
          <w:szCs w:val="24"/>
        </w:rPr>
        <w:commentReference w:id="18"/>
      </w:r>
    </w:p>
    <w:p w14:paraId="765E9853" w14:textId="155FEBEF" w:rsidR="0077289B" w:rsidRDefault="002C4D06" w:rsidP="00105578">
      <w:pPr>
        <w:spacing w:after="240"/>
        <w:rPr>
          <w:rStyle w:val="s1"/>
          <w:b/>
          <w:bCs/>
          <w:color w:val="000000"/>
          <w:u w:val="single"/>
        </w:rPr>
      </w:pPr>
      <w:r>
        <w:t xml:space="preserve">We therefore evaluated whether venous and arterial pCO₂ </w:t>
      </w:r>
      <w:r>
        <w:t>showed similar prognostic associations with</w:t>
      </w:r>
      <w:r>
        <w:t xml:space="preserve"> subsequent diagnosis of hypercapnic respiratory failure, ventilatory support, and 60-day mortality in a multicenter retrospective cohort of adults with presentations suggesting possible hypercapnia. We hypothesized that, after inverse propensity-of-sampling weighting to account for differential test ordering </w:t>
      </w:r>
      <w:r w:rsidR="00FF620B">
        <w:t>patterns</w:t>
      </w:r>
      <w:r>
        <w:t>, venous and arterial pCO₂ would show similar associations across these outcomes.</w:t>
      </w:r>
      <w:r w:rsidR="0077289B">
        <w:rPr>
          <w:rStyle w:val="s1"/>
          <w:b/>
          <w:bCs/>
          <w:color w:val="000000"/>
          <w:u w:val="single"/>
        </w:rPr>
        <w:br w:type="page"/>
      </w:r>
    </w:p>
    <w:p w14:paraId="4E2FD8DC" w14:textId="14105106" w:rsidR="00014B1A" w:rsidRDefault="00014B1A" w:rsidP="00B934C7">
      <w:pPr>
        <w:pStyle w:val="Title"/>
        <w:rPr>
          <w:rStyle w:val="Hyperlink"/>
          <w:rFonts w:ascii="Helvetica" w:eastAsiaTheme="majorEastAsia" w:hAnsi="Helvetica" w:cs="Helvetica"/>
          <w:i/>
          <w:iCs/>
        </w:rPr>
      </w:pPr>
      <w:r w:rsidRPr="0041535D">
        <w:rPr>
          <w:rStyle w:val="s1"/>
        </w:rPr>
        <w:lastRenderedPageBreak/>
        <w:t>Methods:</w:t>
      </w:r>
      <w:r w:rsidRPr="0041535D">
        <w:rPr>
          <w:rStyle w:val="apple-converted-space"/>
        </w:rPr>
        <w:t> </w:t>
      </w:r>
    </w:p>
    <w:p w14:paraId="47EF72AA" w14:textId="44A8FB9C" w:rsidR="00014B1A" w:rsidRDefault="00AA5DED" w:rsidP="00B934C7">
      <w:r>
        <w:t>We conducted a</w:t>
      </w:r>
      <w:r w:rsidR="00014B1A" w:rsidRPr="00A900B6">
        <w:t xml:space="preserve"> </w:t>
      </w:r>
      <w:r w:rsidR="00BE5EBB">
        <w:t xml:space="preserve">multicenter </w:t>
      </w:r>
      <w:r w:rsidR="00014B1A" w:rsidRPr="00A900B6">
        <w:t>retrospective cohort study using de-identified pa</w:t>
      </w:r>
      <w:r w:rsidR="006C3196">
        <w:t>ti</w:t>
      </w:r>
      <w:r w:rsidR="00014B1A" w:rsidRPr="00A900B6">
        <w:t>ent data from the 2022 TriNetX research network</w:t>
      </w:r>
      <w:r w:rsidR="00585875" w:rsidRPr="00585875">
        <w:t xml:space="preserve"> </w:t>
      </w:r>
      <w:r w:rsidR="00585875">
        <w:t>(TriNetX, LLC. Cambridge, MA)</w:t>
      </w:r>
      <w:r w:rsidR="00014B1A" w:rsidRPr="00A900B6">
        <w:t>, which aggregates</w:t>
      </w:r>
      <w:r w:rsidR="00BE5EBB">
        <w:t xml:space="preserve"> electronic health record</w:t>
      </w:r>
      <w:r w:rsidR="00014B1A" w:rsidRPr="00A900B6">
        <w:t xml:space="preserve"> data from participating health systems. </w:t>
      </w:r>
      <w:r>
        <w:t>At the time of data requisition, the network included</w:t>
      </w:r>
      <w:r w:rsidR="0013144F">
        <w:t xml:space="preserve"> 107</w:t>
      </w:r>
      <w:r w:rsidR="00585875" w:rsidRPr="00585875">
        <w:t xml:space="preserve"> </w:t>
      </w:r>
      <w:r w:rsidR="0013144F">
        <w:t>health systems</w:t>
      </w:r>
      <w:r w:rsidR="00585875" w:rsidRPr="00585875">
        <w:t xml:space="preserve"> across the US serving roughly 115 million patients</w:t>
      </w:r>
      <w:r w:rsidR="00C675E8">
        <w:t xml:space="preserve">. </w:t>
      </w:r>
      <w:r w:rsidR="00014B1A" w:rsidRPr="00A900B6">
        <w:t>The University of Utah Institutional Review Board reviewed the study protocol and determined the project met criteria for exemption (IRB #00184622).</w:t>
      </w:r>
    </w:p>
    <w:p w14:paraId="480EACE3" w14:textId="364C8E5A" w:rsidR="00014B1A" w:rsidRDefault="00014B1A" w:rsidP="00B934C7">
      <w:pPr>
        <w:pStyle w:val="Subtitle"/>
      </w:pPr>
      <w:r w:rsidRPr="00C65532">
        <w:t>Study Population</w:t>
      </w:r>
      <w:r w:rsidR="0013144F">
        <w:t xml:space="preserve"> and Cohort Assembly</w:t>
      </w:r>
    </w:p>
    <w:p w14:paraId="25F6A9DD" w14:textId="61FBE7F8" w:rsidR="00585875" w:rsidRDefault="00C82313" w:rsidP="00105578">
      <w:pPr>
        <w:pStyle w:val="p1"/>
        <w:rPr>
          <w:color w:val="000000"/>
        </w:rPr>
      </w:pPr>
      <w:r>
        <w:t xml:space="preserve">We </w:t>
      </w:r>
      <w:r w:rsidR="008D6027">
        <w:t xml:space="preserve">performed an </w:t>
      </w:r>
      <w:r>
        <w:t>e</w:t>
      </w:r>
      <w:r w:rsidR="0013144F">
        <w:t>ncounter</w:t>
      </w:r>
      <w:r>
        <w:t>-level analysis</w:t>
      </w:r>
      <w:r w:rsidR="0013144F">
        <w:t xml:space="preserve"> of a</w:t>
      </w:r>
      <w:r w:rsidR="00AA5DED">
        <w:t>dult patient</w:t>
      </w:r>
      <w:r w:rsidR="008D6027">
        <w:t>s</w:t>
      </w:r>
      <w:r w:rsidR="00AA5DED">
        <w:t xml:space="preserve"> (≥ 18 years) </w:t>
      </w:r>
      <w:r>
        <w:t xml:space="preserve">with </w:t>
      </w:r>
      <w:r w:rsidR="00AA5DED" w:rsidRPr="00AA5DED">
        <w:t>emergency department or inpatient encounter</w:t>
      </w:r>
      <w:r>
        <w:t>s</w:t>
      </w:r>
      <w:r w:rsidR="00AA5DED" w:rsidRPr="00AA5DED">
        <w:t xml:space="preserve"> between January 1 and December 31, 2022</w:t>
      </w:r>
      <w:r>
        <w:t xml:space="preserve"> during which hypercapnia </w:t>
      </w:r>
      <w:r w:rsidR="008D6027">
        <w:t>c</w:t>
      </w:r>
      <w:r>
        <w:t xml:space="preserve">ould reasonably be </w:t>
      </w:r>
      <w:r w:rsidR="008D6027">
        <w:t>suspected</w:t>
      </w:r>
      <w:r w:rsidR="00AA5DED" w:rsidRPr="00AA5DED">
        <w:t>.</w:t>
      </w:r>
      <w:r>
        <w:t xml:space="preserve"> </w:t>
      </w:r>
      <w:r>
        <w:t xml:space="preserve">Eligible encounters met at least one of the following criteria on the index encounter: (1) arterial or venous blood gas testing on the first hospital day; </w:t>
      </w:r>
      <w:r w:rsidR="008D6027" w:rsidRPr="008D6027">
        <w:t>(2) diagnostic codes for respiratory failure; (3) diagnostic codes for conditions associated with hypercapnia, including COPD, neuromuscular disease, or severe obesity</w:t>
      </w:r>
      <w:r>
        <w:t>; or (</w:t>
      </w:r>
      <w:r>
        <w:t>4</w:t>
      </w:r>
      <w:r>
        <w:t>) procedure codes for invasive or non-invasive ventilatory support (</w:t>
      </w:r>
      <w:r w:rsidR="00FF620B">
        <w:t>Supplementary table 1</w:t>
      </w:r>
      <w:r>
        <w:t>). Ambulatory encounters were excluded</w:t>
      </w:r>
      <w:commentRangeStart w:id="19"/>
      <w:commentRangeStart w:id="20"/>
      <w:r>
        <w:t>.</w:t>
      </w:r>
      <w:r>
        <w:t xml:space="preserve"> Patients could contribute multiple eligible encounters. </w:t>
      </w:r>
      <w:r>
        <w:rPr>
          <w:rStyle w:val="apple-converted-space"/>
        </w:rPr>
        <w:t> </w:t>
      </w:r>
      <w:commentRangeEnd w:id="19"/>
      <w:r w:rsidR="008D6027">
        <w:rPr>
          <w:rStyle w:val="CommentReference"/>
          <w:sz w:val="24"/>
          <w:szCs w:val="24"/>
        </w:rPr>
        <w:commentReference w:id="19"/>
      </w:r>
      <w:commentRangeEnd w:id="20"/>
      <w:r w:rsidR="00C61887">
        <w:rPr>
          <w:rStyle w:val="CommentReference"/>
          <w:sz w:val="24"/>
          <w:szCs w:val="24"/>
        </w:rPr>
        <w:commentReference w:id="20"/>
      </w:r>
      <w:r>
        <w:t>Encounters meeting the hypercapnia-suspicion phenotype but without blood gas testing were retained in the source cohort for estimation of test-ordering propensity, whereas exposure-outcome analyses were performed within the ABG-tested and VBG-tested cohorts. Procedure and diagnosis codes were used to define a broad source population in whom clinicians would plausibly consider hypercapnia, rather than to define the exposure itself.</w:t>
      </w:r>
      <w:r w:rsidR="00AA5DED">
        <w:t xml:space="preserve"> </w:t>
      </w:r>
    </w:p>
    <w:p w14:paraId="29A09991" w14:textId="6D92CC2A" w:rsidR="00585875" w:rsidRPr="001F3608" w:rsidRDefault="00585875" w:rsidP="00B934C7">
      <w:pPr>
        <w:pStyle w:val="Subtitle"/>
        <w:rPr>
          <w:bCs/>
        </w:rPr>
      </w:pPr>
      <w:r w:rsidRPr="001F3608">
        <w:rPr>
          <w:bCs/>
        </w:rPr>
        <w:t>Exposure</w:t>
      </w:r>
      <w:r w:rsidR="0013144F">
        <w:rPr>
          <w:bCs/>
        </w:rPr>
        <w:t>, Outcomes, and Covaria</w:t>
      </w:r>
      <w:r w:rsidR="00C82313">
        <w:rPr>
          <w:bCs/>
        </w:rPr>
        <w:t>t</w:t>
      </w:r>
      <w:r w:rsidR="0013144F">
        <w:rPr>
          <w:bCs/>
        </w:rPr>
        <w:t>es</w:t>
      </w:r>
    </w:p>
    <w:p w14:paraId="0E252EE2" w14:textId="2342A380" w:rsidR="000E6FEE" w:rsidRDefault="000E6FEE" w:rsidP="00B934C7">
      <w:r w:rsidRPr="000E6FEE">
        <w:t xml:space="preserve">Exposure was defined using the </w:t>
      </w:r>
      <w:r w:rsidRPr="00105578">
        <w:t>first arterial or venous pCO₂ measured on day 0</w:t>
      </w:r>
      <w:r w:rsidRPr="000E6FEE">
        <w:t xml:space="preserve"> of the index encounter</w:t>
      </w:r>
      <w:r>
        <w:t xml:space="preserve">. </w:t>
      </w:r>
      <w:r w:rsidRPr="000E6FEE">
        <w:t xml:space="preserve">For encounters with both arterial and venous blood gases on day 0, ABG and VBG analyses were conducted in separate test-specific cohorts using the first value of each type. We evaluated four prespecified outcomes: hypercapnic respiratory failure diagnosis during the index encounter, receipt of non-invasive ventilation during the hospitalization, receipt of invasive mechanical ventilation during the hospitalization, and all-cause mortality within 60 days of encounter start. </w:t>
      </w:r>
      <w:r w:rsidRPr="00585875">
        <w:t>The 60-day window was selected based on ARDS literature, where this time point captures the greatest intervention-related mortality differences, reflecting the period when deaths attributable to respiratory failure and its management are most apparent</w:t>
      </w:r>
      <w:r>
        <w:t>. Specific LOINC codes (for b</w:t>
      </w:r>
      <w:r w:rsidRPr="000E6FEE">
        <w:t>lood-gas</w:t>
      </w:r>
      <w:r>
        <w:t xml:space="preserve"> </w:t>
      </w:r>
      <w:commentRangeStart w:id="21"/>
      <w:r>
        <w:t>testing</w:t>
      </w:r>
      <w:commentRangeEnd w:id="21"/>
      <w:r>
        <w:rPr>
          <w:rStyle w:val="CommentReference"/>
          <w:sz w:val="24"/>
          <w:szCs w:val="24"/>
        </w:rPr>
        <w:commentReference w:id="21"/>
      </w:r>
      <w:r>
        <w:t xml:space="preserve">), ICD-10-PCS and CPT codes (for ventilation support) and ICD-10-CM codes (for </w:t>
      </w:r>
      <w:commentRangeStart w:id="22"/>
      <w:r>
        <w:t>hypercapnia diagnosis</w:t>
      </w:r>
      <w:commentRangeEnd w:id="22"/>
      <w:r>
        <w:rPr>
          <w:rStyle w:val="CommentReference"/>
          <w:sz w:val="24"/>
          <w:szCs w:val="24"/>
        </w:rPr>
        <w:commentReference w:id="22"/>
      </w:r>
      <w:r>
        <w:t xml:space="preserve">) </w:t>
      </w:r>
      <w:r w:rsidRPr="000E6FEE">
        <w:t>are provided in e-Appendix 4.</w:t>
      </w:r>
      <w:r>
        <w:t xml:space="preserve"> Because </w:t>
      </w:r>
      <w:r w:rsidRPr="000E6FEE">
        <w:t xml:space="preserve">exact temporal ordering of diagnosis and ventilatory procedures relative to the initial blood gas could not be established reliably for all encounters, diagnosis, non-invasive ventilation, and invasive mechanical ventilation were treated as </w:t>
      </w:r>
      <w:r w:rsidRPr="00105578">
        <w:t>encounter-level outcomes</w:t>
      </w:r>
      <w:r w:rsidRPr="000E6FEE">
        <w:t xml:space="preserve"> rather than strictly post-exposure events. </w:t>
      </w:r>
      <w:r w:rsidR="008D6027" w:rsidRPr="008D6027">
        <w:t xml:space="preserve">Covariates used in the sampling models were prespecified to reflect factors plausibly related to both test ordering and outcomes and included encounter type, demographic characteristics, comorbid conditions, initial vital signs, and basic initial laboratory values. Weighted outcome models included additional direct adjustment for age, sex, race/ethnicity, location, </w:t>
      </w:r>
      <w:commentRangeStart w:id="23"/>
      <w:r w:rsidR="008D6027" w:rsidRPr="008D6027">
        <w:t>and encounter type</w:t>
      </w:r>
      <w:commentRangeEnd w:id="23"/>
      <w:r w:rsidR="00C96929" w:rsidRPr="008D6027">
        <w:rPr>
          <w:rStyle w:val="CommentReference"/>
          <w:sz w:val="24"/>
          <w:szCs w:val="24"/>
        </w:rPr>
        <w:commentReference w:id="23"/>
      </w:r>
      <w:r w:rsidR="008D6027" w:rsidRPr="008D6027">
        <w:t>.</w:t>
      </w:r>
      <w:r w:rsidR="008D6027">
        <w:t xml:space="preserve"> C</w:t>
      </w:r>
      <w:r w:rsidRPr="000E6FEE">
        <w:t xml:space="preserve">omplete definitions are provided in </w:t>
      </w:r>
      <w:r w:rsidR="00FF620B">
        <w:t>Supplementary table 1</w:t>
      </w:r>
      <w:r w:rsidRPr="000E6FEE">
        <w:t>.</w:t>
      </w:r>
    </w:p>
    <w:p w14:paraId="2D25267E" w14:textId="11DCD744" w:rsidR="00127836" w:rsidRPr="00FF620B" w:rsidRDefault="00C82313" w:rsidP="00FF620B">
      <w:pPr>
        <w:pStyle w:val="Subtitle"/>
      </w:pPr>
      <w:r w:rsidRPr="00FF620B">
        <w:t>Statistical Analysis</w:t>
      </w:r>
    </w:p>
    <w:p w14:paraId="4ED8F330" w14:textId="480CC178" w:rsidR="00C82313" w:rsidRPr="00105578" w:rsidRDefault="00C82313" w:rsidP="00C82313">
      <w:pPr>
        <w:rPr>
          <w:i/>
          <w:iCs/>
        </w:rPr>
      </w:pPr>
      <w:r w:rsidRPr="00105578">
        <w:rPr>
          <w:i/>
          <w:iCs/>
        </w:rPr>
        <w:lastRenderedPageBreak/>
        <w:t>Analytic Overview and Target Population</w:t>
      </w:r>
    </w:p>
    <w:p w14:paraId="2B8A684F" w14:textId="603AF570" w:rsidR="00C82313" w:rsidRDefault="00F95C92" w:rsidP="00C82313">
      <w:r w:rsidRPr="00F95C92">
        <w:t xml:space="preserve">The primary analytic goal was to compare prognostic associations of arterial and venous pCO₂ within the same underlying clinical population rather than within the raw groups who happened to receive each test. We therefore used inverse probability-of-sampling weighting (IPSW) based on separate models for ABG and VBG receipt among all encounters meeting the hypercapnia-suspicion phenotype. This approach generated two weighted pseudo-populations, each representing the same target population of encounters in which hypercapnia would plausibly be </w:t>
      </w:r>
      <w:commentRangeStart w:id="24"/>
      <w:r w:rsidRPr="00F95C92">
        <w:t>considered</w:t>
      </w:r>
      <w:commentRangeEnd w:id="24"/>
      <w:r w:rsidR="00FF620B" w:rsidRPr="00F95C92">
        <w:rPr>
          <w:rStyle w:val="CommentReference"/>
          <w:sz w:val="24"/>
          <w:szCs w:val="24"/>
        </w:rPr>
        <w:commentReference w:id="24"/>
      </w:r>
      <w:r w:rsidRPr="00F95C92">
        <w:t xml:space="preserve">. </w:t>
      </w:r>
      <w:r w:rsidR="008D6027" w:rsidRPr="008D6027">
        <w:t>After weighting, both tested cohorts were standardized to the same eligible source cohort, allowing differences in outcome associations to be interpreted as differences between arterial and venous pCO₂</w:t>
      </w:r>
      <w:r w:rsidR="00A21E81">
        <w:t>,</w:t>
      </w:r>
      <w:r w:rsidR="008D6027" w:rsidRPr="008D6027">
        <w:t xml:space="preserve"> conditional on the covariates included in the weighting </w:t>
      </w:r>
      <w:commentRangeStart w:id="25"/>
      <w:commentRangeStart w:id="26"/>
      <w:r w:rsidR="008D6027" w:rsidRPr="008D6027">
        <w:t>models.</w:t>
      </w:r>
      <w:commentRangeEnd w:id="25"/>
      <w:r w:rsidR="00A55193">
        <w:rPr>
          <w:rStyle w:val="CommentReference"/>
          <w:sz w:val="24"/>
          <w:szCs w:val="24"/>
        </w:rPr>
        <w:commentReference w:id="25"/>
      </w:r>
      <w:commentRangeEnd w:id="26"/>
      <w:r w:rsidR="00A55193">
        <w:rPr>
          <w:rStyle w:val="CommentReference"/>
          <w:sz w:val="24"/>
          <w:szCs w:val="24"/>
        </w:rPr>
        <w:commentReference w:id="26"/>
      </w:r>
    </w:p>
    <w:p w14:paraId="0EFFB9D1" w14:textId="4D5DE544" w:rsidR="002A686D" w:rsidRDefault="002A686D" w:rsidP="00C82313">
      <w:pPr>
        <w:rPr>
          <w:i/>
          <w:iCs/>
        </w:rPr>
      </w:pPr>
      <w:r>
        <w:rPr>
          <w:i/>
          <w:iCs/>
        </w:rPr>
        <w:t>Multiple Imputation</w:t>
      </w:r>
    </w:p>
    <w:p w14:paraId="6BFE56B0" w14:textId="50E6AA32" w:rsidR="002A686D" w:rsidRPr="00105578" w:rsidRDefault="002A686D" w:rsidP="00C82313">
      <w:r w:rsidRPr="00105578">
        <w:t xml:space="preserve">Missing baseline covariates were handled using multiple imputation by chained equations in the full eligible analytic cohort after exclusion of ambulatory encounters and before restriction to the ABG-tested or VBG-tested outcome cohorts. We generated </w:t>
      </w:r>
      <w:commentRangeStart w:id="27"/>
      <w:r w:rsidRPr="00105578">
        <w:t>80 imputed datasets</w:t>
      </w:r>
      <w:commentRangeEnd w:id="27"/>
      <w:r w:rsidR="005372D7" w:rsidRPr="002A686D">
        <w:rPr>
          <w:rStyle w:val="CommentReference"/>
          <w:sz w:val="24"/>
          <w:szCs w:val="24"/>
        </w:rPr>
        <w:commentReference w:id="27"/>
      </w:r>
      <w:r w:rsidRPr="00105578">
        <w:t xml:space="preserve"> with 20 iterations each. </w:t>
      </w:r>
      <w:r w:rsidR="00915C29" w:rsidRPr="00915C29">
        <w:t>Imputation models included baseline propensity-model covariates, test-ordering indicators, outcomes, and selected auxiliary variables.</w:t>
      </w:r>
      <w:r w:rsidRPr="00105578">
        <w:t xml:space="preserve"> Test-specific pCO₂ exposure values were not imputed, and outcome analyses remained restricted to encounters with observed ABG or VBG pCO₂ values. Propensity models and weighted outcome models were refit within each imputed dataset, and estimates were pooled using </w:t>
      </w:r>
      <w:commentRangeStart w:id="28"/>
      <w:r w:rsidRPr="00105578">
        <w:t>Rubin’s rules.</w:t>
      </w:r>
      <w:commentRangeEnd w:id="28"/>
      <w:r>
        <w:rPr>
          <w:rStyle w:val="CommentReference"/>
          <w:sz w:val="24"/>
          <w:szCs w:val="24"/>
        </w:rPr>
        <w:commentReference w:id="28"/>
      </w:r>
    </w:p>
    <w:p w14:paraId="1D6AA83A" w14:textId="59438986" w:rsidR="00C82313" w:rsidRPr="00105578" w:rsidRDefault="00C82313" w:rsidP="00C82313">
      <w:pPr>
        <w:rPr>
          <w:i/>
          <w:iCs/>
        </w:rPr>
      </w:pPr>
      <w:r w:rsidRPr="00105578">
        <w:rPr>
          <w:i/>
          <w:iCs/>
        </w:rPr>
        <w:t>Primary Adjusted Analysis</w:t>
      </w:r>
    </w:p>
    <w:p w14:paraId="45789766" w14:textId="1CD96D24" w:rsidR="002B78BE" w:rsidRDefault="002B78BE" w:rsidP="00503062">
      <w:r w:rsidRPr="002B78BE">
        <w:t xml:space="preserve">Within each imputed dataset, we estimated separate multivariable logistic models for receipt of ABG testing and receipt of VBG testing among all eligible encounters in the source cohort. </w:t>
      </w:r>
      <w:r w:rsidR="008D6027">
        <w:t>Sampling models included the prespecified baseline covariates described above.</w:t>
      </w:r>
      <w:r w:rsidRPr="002B78BE">
        <w:t xml:space="preserve"> One-sided inverse probability-of-sampling weights were then derived for tested encounters as the inverse of the estimated testing probability. To limit the influence of extreme weights, propensities below the 1st percentile of the tested group were</w:t>
      </w:r>
      <w:commentRangeStart w:id="29"/>
      <w:commentRangeStart w:id="30"/>
      <w:commentRangeStart w:id="31"/>
      <w:r w:rsidRPr="002B78BE">
        <w:t xml:space="preserve"> floored </w:t>
      </w:r>
      <w:commentRangeEnd w:id="29"/>
      <w:r w:rsidR="00A21E81" w:rsidRPr="002B78BE">
        <w:rPr>
          <w:rStyle w:val="CommentReference"/>
          <w:sz w:val="24"/>
          <w:szCs w:val="24"/>
        </w:rPr>
        <w:commentReference w:id="29"/>
      </w:r>
      <w:commentRangeEnd w:id="30"/>
      <w:r w:rsidR="005372D7" w:rsidRPr="002B78BE">
        <w:rPr>
          <w:rStyle w:val="CommentReference"/>
          <w:sz w:val="24"/>
          <w:szCs w:val="24"/>
        </w:rPr>
        <w:commentReference w:id="30"/>
      </w:r>
      <w:commentRangeEnd w:id="31"/>
      <w:r w:rsidR="00FF620B" w:rsidRPr="002B78BE">
        <w:rPr>
          <w:rStyle w:val="CommentReference"/>
          <w:sz w:val="24"/>
          <w:szCs w:val="24"/>
        </w:rPr>
        <w:commentReference w:id="31"/>
      </w:r>
      <w:r w:rsidRPr="002B78BE">
        <w:t xml:space="preserve">at that value before weighting, and the resulting weights were </w:t>
      </w:r>
      <w:r w:rsidR="005372D7">
        <w:t>mean normalized.</w:t>
      </w:r>
    </w:p>
    <w:p w14:paraId="5C835889" w14:textId="4A907E2D" w:rsidR="002B78BE" w:rsidRDefault="003248E8" w:rsidP="00503062">
      <w:r w:rsidRPr="003248E8">
        <w:t xml:space="preserve">After weighting, associations between pCO₂ and each outcome were estimated separately within the ABG-tested and VBG-tested cohorts using survey-weighted logistic regression with additional adjustment for age, sex, race/ethnicity, location, and </w:t>
      </w:r>
      <w:commentRangeStart w:id="32"/>
      <w:r w:rsidRPr="003248E8">
        <w:t>encounter type</w:t>
      </w:r>
      <w:commentRangeEnd w:id="32"/>
      <w:r w:rsidR="005372D7" w:rsidRPr="003248E8">
        <w:rPr>
          <w:rStyle w:val="CommentReference"/>
          <w:sz w:val="24"/>
          <w:szCs w:val="24"/>
        </w:rPr>
        <w:commentReference w:id="32"/>
      </w:r>
      <w:r w:rsidRPr="003248E8">
        <w:t xml:space="preserve">. </w:t>
      </w:r>
      <w:r w:rsidR="00E25F33" w:rsidRPr="00E25F33">
        <w:t>pCO₂ was classified as low, normal, or high using test-specific thresholds</w:t>
      </w:r>
      <w:r w:rsidR="00E25F33">
        <w:t xml:space="preserve"> (</w:t>
      </w:r>
      <w:r w:rsidR="00E25F33" w:rsidRPr="00E25F33">
        <w:t>ABG &lt;35, 35 to 45, and ≥45 mmHg; VBG &lt;40, 40 to 50, and ≥50 mmHg</w:t>
      </w:r>
      <w:r w:rsidR="00E25F33">
        <w:t xml:space="preserve">) </w:t>
      </w:r>
      <w:r w:rsidRPr="003248E8">
        <w:t xml:space="preserve">and as a continuous predictor using </w:t>
      </w:r>
      <w:r w:rsidR="008D6027">
        <w:t>restricted cubic</w:t>
      </w:r>
      <w:r w:rsidRPr="003248E8">
        <w:t xml:space="preserve"> spline</w:t>
      </w:r>
      <w:r w:rsidR="008D6027">
        <w:t xml:space="preserve">s </w:t>
      </w:r>
      <w:r w:rsidRPr="003248E8">
        <w:t>with 4 degrees of freedom to allow for non-linear associations. For categorical models, odds ratios and 95% confidence intervals were estimated using the normal pCO₂ group as the reference. For spline models, adjusted outcome curves with 95% confidence intervals were generated over the central observed pCO₂ range, defined as the 2nd to 98th percentiles.</w:t>
      </w:r>
    </w:p>
    <w:p w14:paraId="182B506F" w14:textId="695F8ADB" w:rsidR="002B78BE" w:rsidRDefault="003248E8" w:rsidP="00503062">
      <w:r w:rsidRPr="003248E8">
        <w:t xml:space="preserve">Covariate balance before and after weighting was assessed using standardized mean differences, with absolute values below 0.1 considered </w:t>
      </w:r>
      <w:commentRangeStart w:id="33"/>
      <w:r w:rsidRPr="003248E8">
        <w:t>acceptable</w:t>
      </w:r>
      <w:commentRangeEnd w:id="33"/>
      <w:r w:rsidR="005372D7" w:rsidRPr="003248E8">
        <w:rPr>
          <w:rStyle w:val="CommentReference"/>
          <w:sz w:val="24"/>
          <w:szCs w:val="24"/>
        </w:rPr>
        <w:commentReference w:id="33"/>
      </w:r>
      <w:r w:rsidRPr="003248E8">
        <w:t>. Propensity-score distributions were also examined to assess overlap and support the positivity assumption.</w:t>
      </w:r>
    </w:p>
    <w:p w14:paraId="712202CF" w14:textId="144C6856" w:rsidR="00C82313" w:rsidRPr="00105578" w:rsidRDefault="00C82313" w:rsidP="00C82313">
      <w:pPr>
        <w:rPr>
          <w:i/>
          <w:iCs/>
        </w:rPr>
      </w:pPr>
      <w:r w:rsidRPr="00105578">
        <w:rPr>
          <w:i/>
          <w:iCs/>
        </w:rPr>
        <w:t xml:space="preserve">Secondary </w:t>
      </w:r>
      <w:r w:rsidR="00503062" w:rsidRPr="00105578">
        <w:rPr>
          <w:i/>
          <w:iCs/>
        </w:rPr>
        <w:t xml:space="preserve">and </w:t>
      </w:r>
      <w:r w:rsidRPr="00105578">
        <w:rPr>
          <w:i/>
          <w:iCs/>
        </w:rPr>
        <w:t>Sensitivity Analyses</w:t>
      </w:r>
    </w:p>
    <w:p w14:paraId="4F4C12F0" w14:textId="2BA0901A" w:rsidR="003248E8" w:rsidRPr="002B78BE" w:rsidRDefault="003248E8" w:rsidP="002B78BE">
      <w:r w:rsidRPr="003248E8">
        <w:t xml:space="preserve">Secondary analyses included crude categorical outcome models and unweighted covariate-adjusted spline analyses. As descriptive secondary analyses, we fit crude logistic regression models separately within the ABG-tested and VBG-tested cohorts using test-specific low, </w:t>
      </w:r>
      <w:r w:rsidRPr="003248E8">
        <w:lastRenderedPageBreak/>
        <w:t xml:space="preserve">normal, and high pCO₂ categories, with the normal range as the reference. We also fit unweighted covariate-adjusted spline models for each outcome, adjusting for age, sex, race/ethnicity, location, and encounter type, with pCO₂ modeled using </w:t>
      </w:r>
      <w:r w:rsidR="008D6027">
        <w:t>restricted cubic</w:t>
      </w:r>
      <w:r w:rsidRPr="003248E8">
        <w:t xml:space="preserve"> spline</w:t>
      </w:r>
      <w:r w:rsidR="008D6027">
        <w:t xml:space="preserve">s </w:t>
      </w:r>
      <w:r w:rsidRPr="003248E8">
        <w:t>with 4 degrees of freedom. For categorical models, we estimated odds ratios with 95% confidence intervals; for spline models, we generated adjusted odds-ratio and predicted-probability curves with 95% confidence intervals over the central observed pCO₂ range.</w:t>
      </w:r>
    </w:p>
    <w:p w14:paraId="3F1CAA0A" w14:textId="4B209CF7" w:rsidR="003248E8" w:rsidRPr="003248E8" w:rsidRDefault="008D6027" w:rsidP="003248E8">
      <w:r w:rsidRPr="008D6027">
        <w:rPr>
          <w:rFonts w:eastAsiaTheme="minorHAnsi"/>
        </w:rPr>
        <w:t xml:space="preserve">As a sensitivity analysis, we repeated the weighting analysis in the non-imputed dataset using gradient-boosted propensity models for ABG and VBG </w:t>
      </w:r>
      <w:commentRangeStart w:id="34"/>
      <w:commentRangeStart w:id="35"/>
      <w:r w:rsidRPr="008D6027">
        <w:rPr>
          <w:rFonts w:eastAsiaTheme="minorHAnsi"/>
        </w:rPr>
        <w:t xml:space="preserve">receipt, </w:t>
      </w:r>
      <w:commentRangeEnd w:id="34"/>
      <w:r w:rsidR="005372D7" w:rsidRPr="008D6027">
        <w:rPr>
          <w:rStyle w:val="CommentReference"/>
          <w:rFonts w:eastAsiaTheme="minorHAnsi"/>
          <w:sz w:val="24"/>
          <w:szCs w:val="24"/>
        </w:rPr>
        <w:commentReference w:id="34"/>
      </w:r>
      <w:commentRangeEnd w:id="35"/>
      <w:r w:rsidR="00FF620B" w:rsidRPr="008D6027">
        <w:rPr>
          <w:rStyle w:val="CommentReference"/>
          <w:rFonts w:eastAsiaTheme="minorHAnsi"/>
          <w:sz w:val="24"/>
          <w:szCs w:val="24"/>
        </w:rPr>
        <w:commentReference w:id="35"/>
      </w:r>
      <w:r w:rsidRPr="008D6027">
        <w:rPr>
          <w:rFonts w:eastAsiaTheme="minorHAnsi"/>
        </w:rPr>
        <w:t xml:space="preserve">with incomplete predictors handled using WeightIt’s missing-indicator </w:t>
      </w:r>
      <w:commentRangeStart w:id="36"/>
      <w:r w:rsidRPr="008D6027">
        <w:rPr>
          <w:rFonts w:eastAsiaTheme="minorHAnsi"/>
        </w:rPr>
        <w:t>approach</w:t>
      </w:r>
      <w:commentRangeEnd w:id="36"/>
      <w:r w:rsidR="005372D7" w:rsidRPr="008D6027">
        <w:rPr>
          <w:rStyle w:val="CommentReference"/>
          <w:rFonts w:eastAsiaTheme="minorHAnsi"/>
          <w:sz w:val="24"/>
          <w:szCs w:val="24"/>
        </w:rPr>
        <w:commentReference w:id="36"/>
      </w:r>
      <w:r w:rsidRPr="008D6027">
        <w:rPr>
          <w:rFonts w:eastAsiaTheme="minorHAnsi"/>
        </w:rPr>
        <w:t>.</w:t>
      </w:r>
      <w:r w:rsidR="003248E8" w:rsidRPr="00105578">
        <w:rPr>
          <w:rFonts w:eastAsiaTheme="minorHAnsi"/>
        </w:rPr>
        <w:t xml:space="preserve"> We then repeated the weighted outcome models and balance diagnostics using the gradient-boosted weights. </w:t>
      </w:r>
      <w:r w:rsidR="00915C29" w:rsidRPr="00915C29">
        <w:rPr>
          <w:rFonts w:eastAsiaTheme="minorHAnsi"/>
        </w:rPr>
        <w:t xml:space="preserve">Supplementary diagnostics for the gradient-boosted models included SHAP summaries to characterize predictors of test </w:t>
      </w:r>
      <w:commentRangeStart w:id="37"/>
      <w:r w:rsidR="00915C29" w:rsidRPr="00915C29">
        <w:rPr>
          <w:rFonts w:eastAsiaTheme="minorHAnsi"/>
        </w:rPr>
        <w:t>ordering.</w:t>
      </w:r>
      <w:commentRangeEnd w:id="37"/>
      <w:r w:rsidR="005372D7">
        <w:rPr>
          <w:rStyle w:val="CommentReference"/>
          <w:sz w:val="24"/>
          <w:szCs w:val="24"/>
          <w:rPrChange w:id="38" w:author="Brian Locke" w:date="2026-04-08T21:47:00Z">
            <w:rPr>
              <w:rStyle w:val="CommentReference"/>
              <w:sz w:val="24"/>
              <w:szCs w:val="24"/>
            </w:rPr>
          </w:rPrChange>
        </w:rPr>
        <w:commentReference w:id="37"/>
      </w:r>
    </w:p>
    <w:p w14:paraId="515480E0" w14:textId="77777777" w:rsidR="003248E8" w:rsidRPr="00105578" w:rsidRDefault="003248E8" w:rsidP="003248E8">
      <w:pPr>
        <w:rPr>
          <w:i/>
          <w:iCs/>
        </w:rPr>
      </w:pPr>
      <w:r w:rsidRPr="00105578">
        <w:rPr>
          <w:i/>
          <w:iCs/>
        </w:rPr>
        <w:t xml:space="preserve">Software and Reproducibility: </w:t>
      </w:r>
    </w:p>
    <w:p w14:paraId="655F9285" w14:textId="4DD3CC61" w:rsidR="003248E8" w:rsidRPr="00105578" w:rsidRDefault="003248E8" w:rsidP="003248E8">
      <w:pPr>
        <w:rPr>
          <w:i/>
          <w:iCs/>
        </w:rPr>
      </w:pPr>
      <w:r w:rsidRPr="003248E8">
        <w:t>All analyses were performed in R version 4.5.2 using packages including mice, WeightIt, survey, rms, splines, and mitools. The statistical code and Quarto notebooks used to generate the analyses, tables, and figures are available at https://github.com/reblocke/abg-vbg-project. Underlying TriNetX patient-level data cannot be shared because of data use restrictions.</w:t>
      </w:r>
    </w:p>
    <w:p w14:paraId="22FA7B62" w14:textId="03526D8C" w:rsidR="00014B1A" w:rsidRPr="00656FB1" w:rsidRDefault="00014B1A" w:rsidP="00B934C7">
      <w:pPr>
        <w:pStyle w:val="Title"/>
      </w:pPr>
      <w:commentRangeStart w:id="39"/>
      <w:r w:rsidRPr="00656FB1">
        <w:t>Results:</w:t>
      </w:r>
      <w:commentRangeEnd w:id="39"/>
      <w:r w:rsidR="00721BFB" w:rsidRPr="00656FB1">
        <w:rPr>
          <w:rStyle w:val="CommentReference"/>
          <w:sz w:val="24"/>
          <w:szCs w:val="22"/>
        </w:rPr>
        <w:commentReference w:id="39"/>
      </w:r>
    </w:p>
    <w:p w14:paraId="01C8B78B" w14:textId="74889EF5" w:rsidR="00253A0E" w:rsidRDefault="00253A0E" w:rsidP="00105578">
      <w:pPr>
        <w:pStyle w:val="Subtitle"/>
      </w:pPr>
      <w:r w:rsidRPr="00253A0E">
        <w:t>Cohort assembly and analytic s</w:t>
      </w:r>
      <w:commentRangeStart w:id="40"/>
      <w:r w:rsidRPr="00253A0E">
        <w:t>ample</w:t>
      </w:r>
      <w:commentRangeEnd w:id="40"/>
      <w:r>
        <w:rPr>
          <w:rStyle w:val="CommentReference"/>
          <w:sz w:val="24"/>
          <w:szCs w:val="22"/>
        </w:rPr>
        <w:commentReference w:id="40"/>
      </w:r>
    </w:p>
    <w:p w14:paraId="65B8A0BC" w14:textId="662E8865" w:rsidR="0065351D" w:rsidRDefault="0065351D" w:rsidP="00B934C7">
      <w:r w:rsidRPr="0065351D">
        <w:t>Of 833,476 encounters in the extracted source cohort, 318,190 ambulatory encounters were excluded, leaving 515,286 emergency department or inpatient encounters for analysis (Figure 1). In the analytic cohort, 187,242 encounters had any ABG testing, 149,663 had any VBG testing, 55,049 had both tests, and 233,430 had neither.</w:t>
      </w:r>
      <w:r w:rsidR="00014B1A" w:rsidRPr="00623125">
        <w:t> </w:t>
      </w:r>
    </w:p>
    <w:p w14:paraId="5A8A776B" w14:textId="25440E8A" w:rsidR="00253A0E" w:rsidRDefault="00253A0E" w:rsidP="00105578">
      <w:pPr>
        <w:pStyle w:val="Subtitle"/>
      </w:pPr>
      <w:r w:rsidRPr="00253A0E">
        <w:t xml:space="preserve">Baseline characteristics </w:t>
      </w:r>
      <w:commentRangeStart w:id="41"/>
      <w:r w:rsidRPr="00253A0E">
        <w:t>and test-ordering differences</w:t>
      </w:r>
      <w:commentRangeEnd w:id="41"/>
      <w:r>
        <w:rPr>
          <w:rStyle w:val="CommentReference"/>
          <w:sz w:val="24"/>
          <w:szCs w:val="22"/>
        </w:rPr>
        <w:commentReference w:id="41"/>
      </w:r>
    </w:p>
    <w:p w14:paraId="24D3D4C8" w14:textId="553B2169" w:rsidR="00513252" w:rsidRDefault="00513252" w:rsidP="00C35878">
      <w:r w:rsidRPr="00513252">
        <w:t>Baseline characteristics are summarized in Table 1. Among 515,286 analytic encounters, mean age was 59.2 ± 17.7 years, 49.3% were among female patients, 62.3% were among non-Hispanic White patients, and 66.7% occurred in the inpatient setting. Common comorbidities included diabetes (28.9%), congestive heart failure (19.7%), COPD (19.5%), obstructive sleep apnea (17.5%), chronic kidney disease (17.7%), and asthma (13.5%). Compared with encounters without ABG testing, ABG-tested encounters involved older patients, lower BMI, more male patients, more inpatient care, and higher prevalence of COPD, congestive heart failure, pulmonary hypertension, and chronic kidney disease. Compared with encounters without VBG testing, VBG-tested encounters were slightly younger, more often male, had lower BMI, and more often involved congestive heart failure, pulmonary hypertension, chronic kidney disease, and diabetes; they were also concentrated in the Northeast.</w:t>
      </w:r>
    </w:p>
    <w:p w14:paraId="12F69070" w14:textId="77777777" w:rsidR="00253A0E" w:rsidRDefault="00253A0E" w:rsidP="00014B1A">
      <w:pPr>
        <w:pStyle w:val="p2"/>
        <w:spacing w:before="0" w:beforeAutospacing="0" w:after="0" w:afterAutospacing="0"/>
        <w:rPr>
          <w:color w:val="000000"/>
        </w:rPr>
      </w:pPr>
    </w:p>
    <w:p w14:paraId="1EF9F709" w14:textId="608CD794" w:rsidR="00253A0E" w:rsidRDefault="00253A0E" w:rsidP="00105578">
      <w:pPr>
        <w:pStyle w:val="Subtitle"/>
      </w:pPr>
      <w:commentRangeStart w:id="42"/>
      <w:r>
        <w:t>Primary weighted analyses</w:t>
      </w:r>
      <w:commentRangeEnd w:id="42"/>
      <w:r>
        <w:rPr>
          <w:rStyle w:val="CommentReference"/>
          <w:sz w:val="24"/>
          <w:szCs w:val="22"/>
        </w:rPr>
        <w:commentReference w:id="42"/>
      </w:r>
    </w:p>
    <w:p w14:paraId="0F21D495" w14:textId="77777777" w:rsidR="00ED24CB" w:rsidRDefault="00085DAB" w:rsidP="00ED24CB">
      <w:r w:rsidRPr="00085DAB">
        <w:t xml:space="preserve">Before weighting, both ABG and VBG testing differed across measured baseline characteristics. In the primary MI logistic IPSW analysis, covariate balance improved markedly; in the median-across-imputation balance summaries, all displayed post-weighting absolute standardized mean differences were below 0.1 (Figure S1). Across individual imputations, residual imbalance was minimal overall, although a small number of ABG imputations had a maximum absolute </w:t>
      </w:r>
      <w:r w:rsidRPr="00085DAB">
        <w:lastRenderedPageBreak/>
        <w:t>standardized mean difference slightly above 0.1 (worst 0.103). Imputation-averaged propensity-score distributions for tested and untested encounters are shown in Figure S2 and demonstrated overlap between the tested and untested groups.</w:t>
      </w:r>
      <w:r>
        <w:t xml:space="preserve"> </w:t>
      </w:r>
      <w:r w:rsidRPr="00085DAB">
        <w:t>In supplementary SHAP-style contribution analyses of the logistic propensity models, serum lactate and creatinine were the largest contributors to both ABG and VBG test ordering, with white blood cell count and phosphorus contributing more prominently to ABG ordering and heart rate, systolic blood pressure, location, and body mass index contributing more prominently to VBG ordering (Figure S3).</w:t>
      </w:r>
    </w:p>
    <w:p w14:paraId="27B2EF3A" w14:textId="77777777" w:rsidR="00ED24CB" w:rsidRDefault="00ED24CB" w:rsidP="00ED24CB">
      <w:pPr>
        <w:rPr>
          <w:color w:val="000000"/>
        </w:rPr>
      </w:pPr>
      <w:r w:rsidRPr="00ED24CB">
        <w:rPr>
          <w:color w:val="000000"/>
        </w:rPr>
        <w:t>In the primary weighted spline analyses, arterial and venous pCO₂ showed broadly similar associations with all four outcomes across both the odds-ratio and predicted-probability displays (Figure 2). For both modalities, increasing pCO₂ was most strongly associated with non-invasive ventilation and hypercapnic respiratory failure diagnosis, whereas the associations with invasive mechanical ventilation and 60-day mortality were smaller. The overall shapes of the exposure-outcome curves were similar for ABG and VBG across the observed pCO₂ range.</w:t>
      </w:r>
    </w:p>
    <w:p w14:paraId="190A33BB" w14:textId="6142EEE5" w:rsidR="009A1FC1" w:rsidRPr="00105578" w:rsidRDefault="00ED24CB" w:rsidP="00105578">
      <w:r w:rsidRPr="00ED24CB">
        <w:rPr>
          <w:color w:val="000000"/>
        </w:rPr>
        <w:t>The weighted categorical models were concordant with the spline analyses (Supplementary Figure S4). Relative to normal pCO₂, high ABG pCO₂ was associated with higher odds of invasive mechanical ventilation (OR, 1.33; 95% CI, 1.29-1.37), non-invasive ventilation (2.64; 2.53-2.75), 60-day mortality (1.40; 1.35-1.45), and hypercapnic respiratory failure diagnosis (6.23; 5.97-6.50). Corresponding VBG estimates were 1.54 (1.48-1.61), 2.93 (2.77-3.10), 1.42 (1.35-1.48), and 8.00 (7.55-8.47), respectively. Low pCO₂ was not associated with higher odds of non-invasive ventilation or hypercapnic respiratory failure diagnosis for either modality, but was associated with higher odds of invasive mechanical ventilation and mortality.</w:t>
      </w:r>
    </w:p>
    <w:p w14:paraId="1487AE07" w14:textId="77777777" w:rsidR="009A1FC1" w:rsidRPr="009A1FC1" w:rsidRDefault="009A1FC1" w:rsidP="00105578">
      <w:pPr>
        <w:pStyle w:val="Subtitle"/>
      </w:pPr>
      <w:commentRangeStart w:id="43"/>
      <w:r w:rsidRPr="009A1FC1">
        <w:t>Secondary analyses</w:t>
      </w:r>
      <w:commentRangeEnd w:id="43"/>
      <w:r w:rsidRPr="009A1FC1">
        <w:rPr>
          <w:rStyle w:val="CommentReference"/>
          <w:sz w:val="24"/>
          <w:szCs w:val="22"/>
        </w:rPr>
        <w:commentReference w:id="43"/>
      </w:r>
    </w:p>
    <w:p w14:paraId="6FCAD876" w14:textId="77777777" w:rsidR="00A30943" w:rsidRDefault="00A30943" w:rsidP="00105578">
      <w:r w:rsidRPr="00A16EC0">
        <w:t>Secondary analyses were directionally consistent with the primary weighted results. In crude categorical models, high pCO2 relative to normal was associated with higher odds of all four outcomes for both ABG and VBG. For ABG, the crude high-versus-normal odds ratios were 1.21 (95% CI 0.94-1.55) for IMV, 1.43 (1.03-1.99) for NIV, 0.96 (0.70-1.31) for 60-day mortality, and 4.97 (3.48-7.11) for hypercapnic respiratory failure. For VBG, the corresponding crude odds ratios were 1.84 (1.31-2.59) for IMV, 2.64 (1.71-4.07) for NIV, 1.48 (1.01-2.16) for 60-day mortality, and 9.08 (5.59-14.76) for hypercapnic respiratory failure. Low pCO2 relative to normal was associated with higher odds of IMV and 60-day mortality in both cohorts, with little association for hypercapnic respiratory failure and weaker or null associations for NIV: ABG low-versus-normal odds ratios were 1.33 (1.03-1.71) for IMV, 0.78 (0.53-1.15) for NIV, 1.80 (1.36-2.38) for mortality, and 0.96 (0.59-1.56) for hypercapnic respiratory failure; VBG low-versus-normal odds ratios were 1.88 (1.35-2.63), 1.03 (0.62-1.73), 1.75 (1.22-2.51), and 1.10 (0.56-2.14), respectively. In unweighted covariate-adjusted spline analyses, the overall exposure-outcome shapes were similar to those observed in the primary weighted models, with the strongest associations again seen for hypercapnic respiratory failure and non-invasive ventilation and smaller associations for invasive mechanical ventilation and 60-day mortality.</w:t>
      </w:r>
    </w:p>
    <w:p w14:paraId="65B80E85" w14:textId="28E83876" w:rsidR="009A1FC1" w:rsidRPr="009A1FC1" w:rsidRDefault="009A1FC1" w:rsidP="00105578">
      <w:pPr>
        <w:pStyle w:val="Subtitle"/>
      </w:pPr>
      <w:r w:rsidRPr="009A1FC1">
        <w:t xml:space="preserve">Sensitivity analyses and </w:t>
      </w:r>
      <w:commentRangeStart w:id="44"/>
      <w:r w:rsidRPr="009A1FC1">
        <w:t>diagnostics</w:t>
      </w:r>
      <w:commentRangeEnd w:id="44"/>
      <w:r w:rsidRPr="009A1FC1">
        <w:rPr>
          <w:rStyle w:val="CommentReference"/>
          <w:sz w:val="24"/>
          <w:szCs w:val="22"/>
        </w:rPr>
        <w:commentReference w:id="44"/>
      </w:r>
    </w:p>
    <w:p w14:paraId="131F6EB0" w14:textId="4FAF0EE5" w:rsidR="002408FC" w:rsidRPr="00105578" w:rsidRDefault="00A30943" w:rsidP="00105578">
      <w:r w:rsidRPr="00A30943">
        <w:t xml:space="preserve">The gradient-boosted propensity-model sensitivity analysis yielded weighted outcome estimates that were directionally similar to the primary MI logistic IPSW results. The largest absolute differences were seen for the high-versus-normal hypercapnic respiratory failure contrast, where the GBM-weighted odds ratios were 5.24 versus 6.16 for ABG and 9.51 versus 10.43 for VBG; across IMV, NIV, and 60-day mortality, absolute differences were otherwise modest and did not </w:t>
      </w:r>
      <w:r w:rsidRPr="00A30943">
        <w:lastRenderedPageBreak/>
        <w:t>exceed 0.29 for high-versus-normal contrasts or 0.16 for low-versus-normal contrasts. Balance improved in the GBM-weighted analyses on average, with mean absolute standardized mean differences decreasing from 0.093 to 0.063 for ABG and from 0.080 to 0.057 for VBG, although several individual covariates remained above 0.1 after weighting. Propensity-score overlap was present in both ABG and VBG models, with substantial overlap in the central score range but separation at the tails. In supplementary SHAP-style contribution summaries of the GBM propensity models, ABG ordering was driven most strongly by serum phosphorus and lactate, followed by encounter type, white blood cell count, heart rate, calcium, body mass index, and location; VBG ordering was driven most strongly by location and white blood cell count, followed by temperature, body mass index, lactate, systolic blood pressure, heart rate, chloride, and phosphorus.</w:t>
      </w:r>
    </w:p>
    <w:p w14:paraId="403E0289" w14:textId="77777777" w:rsidR="00014B1A" w:rsidRPr="00656FB1" w:rsidRDefault="00014B1A" w:rsidP="00B934C7">
      <w:pPr>
        <w:pStyle w:val="Title"/>
      </w:pPr>
      <w:r w:rsidRPr="00656FB1">
        <w:rPr>
          <w:rStyle w:val="s1"/>
        </w:rPr>
        <w:t>Discussion:</w:t>
      </w:r>
      <w:r w:rsidRPr="00656FB1">
        <w:rPr>
          <w:rStyle w:val="apple-converted-space"/>
        </w:rPr>
        <w:t> </w:t>
      </w:r>
    </w:p>
    <w:p w14:paraId="1D48853D" w14:textId="1D1FD79C" w:rsidR="001E221A" w:rsidRDefault="001E221A" w:rsidP="00B934C7">
      <w:r w:rsidRPr="001E221A">
        <w:t>In adults with encounters suggesting possible hypercapnia, venous and arterial pCO₂ were similarly associated with diagnostic labeling, ventilatory support, and 60-day mortality after adjustment for measured differences in who received each test. Higher pCO₂ by either modality was most strongly related to non-invasive ventilation and coded hypercapnic respiratory failure, whereas associations with invasive mechanical ventilation and mortality were less specific. These findings suggest that venous pCO₂ may carry prognostic information similar to arterial pCO₂ in the settings studied.</w:t>
      </w:r>
    </w:p>
    <w:p w14:paraId="131F6DC7" w14:textId="764ED036" w:rsidR="001E221A" w:rsidRDefault="00637D69" w:rsidP="00B934C7">
      <w:r w:rsidRPr="00637D69">
        <w:t>Earlier work on ABG and VBG comparison has largely asked a narrower question than the one addressed here. Most studies evaluated analytic agreement, venous screening thresholds for arterial hypercapnia, or formulas intended to estimate arterial values from venous s</w:t>
      </w:r>
      <w:commentRangeStart w:id="45"/>
      <w:r w:rsidRPr="00637D69">
        <w:t>amples</w:t>
      </w:r>
      <w:commentRangeEnd w:id="45"/>
      <w:r w:rsidRPr="00637D69">
        <w:rPr>
          <w:rStyle w:val="CommentReference"/>
          <w:sz w:val="24"/>
          <w:szCs w:val="24"/>
        </w:rPr>
        <w:commentReference w:id="45"/>
      </w:r>
      <w:r w:rsidRPr="00637D69">
        <w:t xml:space="preserve">; a 2024 systematic review concluded that the clinical impacts of choosing ABG vs VBG remained largely </w:t>
      </w:r>
      <w:commentRangeStart w:id="46"/>
      <w:r w:rsidRPr="00637D69">
        <w:t xml:space="preserve">unknown. </w:t>
      </w:r>
      <w:commentRangeEnd w:id="46"/>
      <w:r w:rsidRPr="00637D69">
        <w:rPr>
          <w:rStyle w:val="CommentReference"/>
          <w:sz w:val="24"/>
          <w:szCs w:val="24"/>
        </w:rPr>
        <w:commentReference w:id="46"/>
      </w:r>
      <w:commentRangeStart w:id="47"/>
      <w:r w:rsidRPr="00637D69">
        <w:t>Körver et al.</w:t>
      </w:r>
      <w:commentRangeEnd w:id="47"/>
      <w:r w:rsidRPr="00637D69">
        <w:rPr>
          <w:rStyle w:val="CommentReference"/>
          <w:sz w:val="24"/>
          <w:szCs w:val="24"/>
        </w:rPr>
        <w:commentReference w:id="47"/>
      </w:r>
      <w:r w:rsidRPr="00637D69">
        <w:t xml:space="preserve"> then examined whether venous testing plus pulse oximetry could replace ABG for treatment and disposition decisions in the ED, but even that design did not assess whether arterial and venous pCO₂ show similar associations with later clinically important outcomes. </w:t>
      </w:r>
      <w:r w:rsidR="00004BB3" w:rsidRPr="00004BB3">
        <w:t>Our analysis adds that outcome-oriented perspective by comparing ABG- and VBG-based prognostic associations after weighting both tested cohorts back to the same eligible source cohort. This addresses whether the two modalities carry similar outcome-relevant information, but not whether management based on one modality alone would be equivalent to management based on the other.</w:t>
      </w:r>
    </w:p>
    <w:p w14:paraId="58C7B1CB" w14:textId="77777777" w:rsidR="00A431A9" w:rsidRDefault="00A431A9" w:rsidP="00A431A9">
      <w:r w:rsidRPr="00A431A9">
        <w:t>The key point in these results is that arterial and venous pCO₂ showed similar patterns across outcomes, especially for those most specific to hypercapnia. In both ABG and VBG analyses, high pCO₂ was strongly associated with non-invasive ventilation and coded hypercapnic respiratory failure, whereas low pCO₂ showed little association with those endpoints. This is reassuring because it argues against those associations being explained only by generalized illness severity after weighting. By contrast, invasive mechanical ventilation and mortality were associated with both low and high pCO₂, a less specific pattern that likely reflects broader respiratory and metabolic instability. The more clinically important observation is that venous and arterial pCO₂ remained closely aligned where hypercapnia itself is most central to recognition and treatment.</w:t>
      </w:r>
    </w:p>
    <w:p w14:paraId="5DC6EFF9" w14:textId="77777777" w:rsidR="00E31648" w:rsidRDefault="00E31648" w:rsidP="00A431A9">
      <w:r w:rsidRPr="00E31648">
        <w:t xml:space="preserve">Key strengths of this study include its large multicenter encounter-level cohort, its focus on a clinically relevant source population enriched for suspected hypercapnia, and its explicit handling of selective ABG and VBG ordering. By weighting both tested cohorts back to the </w:t>
      </w:r>
      <w:r w:rsidRPr="00E31648">
        <w:lastRenderedPageBreak/>
        <w:t>same eligible source population, the analysis compared arterial and venous pCO₂ within a common clinical frame rather than across raw tested groups. The similarity of the main findings across spline and categorical analyses, and their general consistency in sensitivity analyses, further supports the robustness of the observed pattern.</w:t>
      </w:r>
    </w:p>
    <w:p w14:paraId="6A4F7689" w14:textId="77777777" w:rsidR="00105578" w:rsidRDefault="00105578" w:rsidP="00B934C7">
      <w:r w:rsidRPr="00105578">
        <w:t>This study also has important limitations. The analysis remains vulnerable to residual confounding from selective test ordering, because factors influencing clinicians’ decisions to obtain ABG vs VBG may not be fully measured in the electronic health record. In addition, hypercapnic respiratory failure diagnosis, non-invasive ventilation, and invasive mechanical ventilation were treated as encounter-level outcomes rather than strictly post-exposure events. The enriched source phenotype also incorporated diagnosis and procedure codes that overlap with later outcomes, which may limit interpretability and generalizability. Although 60-day mortality provided one post-index outcome, our data were less able to capture the broader longitudinal consequences of hypercapnia recognition, including outpatient management, repeat encounters, and longer-term ventilatory care. We therefore could not determine whether venous- and arterial-identified hypercapnia carry similar implications for overall post-index trajectory. Finally, the study used one extracted test-specific pCO₂ value per encounter and was restricted to emergency department and inpatient encounters, so the findings may not extend to serial measurement strategies or outpatient populations.</w:t>
      </w:r>
    </w:p>
    <w:p w14:paraId="005E15A0" w14:textId="661FBAD5" w:rsidR="00004BB3" w:rsidRDefault="00A160F4" w:rsidP="00B934C7">
      <w:r w:rsidRPr="00A160F4">
        <w:t>Taken together with prior work, these findings support a more constructive interpretation of current VBG use. Earlier studies suggested that venous pCO₂ can provide clinically useful information even when it does not perfectly reproduce arterial values; our study adds that the two modalities also showed similar associations with several downstream outcomes after adjustment for measured differences in who received each test. That combination of evidence argues against viewing venous-based practice as obviously wrongheaded. The more useful question now is not whether VBG should ever be used, but when it can be expected to perform equivalently to ABG and whether, in some settings, it may represent the more efficient or patient-centered approach.</w:t>
      </w:r>
    </w:p>
    <w:p w14:paraId="300573C2" w14:textId="3E7E1FF5" w:rsidR="00014B1A" w:rsidRDefault="009961A5" w:rsidP="00B934C7">
      <w:pPr>
        <w:pStyle w:val="Title"/>
      </w:pPr>
      <w:r w:rsidRPr="00130945">
        <w:t>Conclusion</w:t>
      </w:r>
      <w:r w:rsidR="001249AC">
        <w:t>:</w:t>
      </w:r>
    </w:p>
    <w:p w14:paraId="0BF8F7D5" w14:textId="061866E1" w:rsidR="0077289B" w:rsidRDefault="00A160F4">
      <w:pPr>
        <w:spacing w:after="0"/>
        <w:rPr>
          <w:b/>
          <w:bCs/>
          <w:u w:val="single"/>
        </w:rPr>
      </w:pPr>
      <w:r>
        <w:t>In this multicenter encounter-level cohort, venous and arterial pCO₂ showed broadly similar associations with ventilatory support, coded hypercapnic respiratory failure, and 60-day mortality after accounting for differential test ordering. These findings do not establish that ABG- and VBG-based care are interchangeable, but they are consistent with venous-based assessment as a plausible patient-centered approach in some settings where arterial confirmation is difficult or burdensome.</w:t>
      </w:r>
      <w:r w:rsidR="0077289B">
        <w:rPr>
          <w:b/>
          <w:bCs/>
          <w:u w:val="single"/>
        </w:rPr>
        <w:br w:type="page"/>
      </w:r>
    </w:p>
    <w:p w14:paraId="1564BE19" w14:textId="116DE06A" w:rsidR="00014B1A" w:rsidRDefault="00014B1A" w:rsidP="00B934C7">
      <w:pPr>
        <w:pStyle w:val="Title"/>
      </w:pPr>
      <w:commentRangeStart w:id="48"/>
      <w:r w:rsidRPr="00DA27DE">
        <w:lastRenderedPageBreak/>
        <w:t xml:space="preserve">References: </w:t>
      </w:r>
      <w:commentRangeEnd w:id="48"/>
      <w:r w:rsidR="005D4E8A">
        <w:rPr>
          <w:rStyle w:val="CommentReference"/>
          <w:sz w:val="24"/>
          <w:szCs w:val="22"/>
        </w:rPr>
        <w:commentReference w:id="48"/>
      </w:r>
    </w:p>
    <w:p w14:paraId="77E147B5" w14:textId="77777777" w:rsidR="002D127D" w:rsidRPr="002D127D" w:rsidRDefault="008A1CF7" w:rsidP="002D127D">
      <w:pPr>
        <w:pStyle w:val="Bibliography"/>
      </w:pPr>
      <w:r>
        <w:rPr>
          <w:rFonts w:asciiTheme="minorHAnsi" w:hAnsiTheme="minorHAnsi" w:cstheme="minorBidi"/>
          <w:b/>
          <w:bCs/>
          <w:u w:val="single"/>
        </w:rPr>
        <w:fldChar w:fldCharType="begin"/>
      </w:r>
      <w:r w:rsidR="00CA0746">
        <w:rPr>
          <w:b/>
          <w:bCs/>
          <w:u w:val="single"/>
        </w:rPr>
        <w:instrText xml:space="preserve"> ADDIN ZOTERO_BIBL {"uncited":[],"omitted":[],"custom":[]} CSL_BIBLIOGRAPHY </w:instrText>
      </w:r>
      <w:r>
        <w:rPr>
          <w:rFonts w:asciiTheme="minorHAnsi" w:hAnsiTheme="minorHAnsi" w:cstheme="minorBidi"/>
          <w:b/>
          <w:bCs/>
          <w:u w:val="single"/>
        </w:rPr>
        <w:fldChar w:fldCharType="separate"/>
      </w:r>
      <w:r w:rsidR="002D127D" w:rsidRPr="002D127D">
        <w:t>1.</w:t>
      </w:r>
      <w:r w:rsidR="002D127D" w:rsidRPr="002D127D">
        <w:tab/>
        <w:t>Lacy ME, Saa L, Bruss Z, Noronha L. Things We Do for No Reason</w:t>
      </w:r>
      <w:r w:rsidR="002D127D" w:rsidRPr="002D127D">
        <w:rPr>
          <w:vertAlign w:val="superscript"/>
        </w:rPr>
        <w:t>TM</w:t>
      </w:r>
      <w:r w:rsidR="002D127D" w:rsidRPr="002D127D">
        <w:t xml:space="preserve">: Arterial blood gas testing to screen for hypercarbic respiratory failure. </w:t>
      </w:r>
      <w:r w:rsidR="002D127D" w:rsidRPr="002D127D">
        <w:rPr>
          <w:i/>
          <w:iCs/>
        </w:rPr>
        <w:t>J Hosp Med</w:t>
      </w:r>
      <w:r w:rsidR="002D127D" w:rsidRPr="002D127D">
        <w:t>. 2025;20(9):1002-1004. doi:10.1002/jhm.70039</w:t>
      </w:r>
    </w:p>
    <w:p w14:paraId="1888ECFB" w14:textId="77777777" w:rsidR="002D127D" w:rsidRPr="002D127D" w:rsidRDefault="002D127D" w:rsidP="002D127D">
      <w:pPr>
        <w:pStyle w:val="Bibliography"/>
      </w:pPr>
      <w:r w:rsidRPr="002D127D">
        <w:t>2.</w:t>
      </w:r>
      <w:r w:rsidRPr="002D127D">
        <w:tab/>
        <w:t xml:space="preserve">McKeever TM, Hearson G, Housley G, et al. Using venous blood gas analysis in the assessment of COPD exacerbations: a prospective cohort study. </w:t>
      </w:r>
      <w:r w:rsidRPr="002D127D">
        <w:rPr>
          <w:i/>
          <w:iCs/>
        </w:rPr>
        <w:t>Thorax</w:t>
      </w:r>
      <w:r w:rsidRPr="002D127D">
        <w:t>. 2016;71(3):210. doi:10.1136/thoraxjnl-2015-207573</w:t>
      </w:r>
    </w:p>
    <w:p w14:paraId="57F82755" w14:textId="77777777" w:rsidR="002D127D" w:rsidRPr="002D127D" w:rsidRDefault="002D127D" w:rsidP="002D127D">
      <w:pPr>
        <w:pStyle w:val="Bibliography"/>
      </w:pPr>
      <w:r w:rsidRPr="002D127D">
        <w:t>3.</w:t>
      </w:r>
      <w:r w:rsidRPr="002D127D">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2D127D">
        <w:rPr>
          <w:i/>
          <w:iCs/>
        </w:rPr>
        <w:t>BMJ Open Respir Res</w:t>
      </w:r>
      <w:r w:rsidRPr="002D127D">
        <w:t>. 2023;10(1):e001537. doi:10.1136/bmjresp-2022-001537</w:t>
      </w:r>
    </w:p>
    <w:p w14:paraId="6609D306" w14:textId="77777777" w:rsidR="002D127D" w:rsidRPr="002D127D" w:rsidRDefault="002D127D" w:rsidP="002D127D">
      <w:pPr>
        <w:pStyle w:val="Bibliography"/>
      </w:pPr>
      <w:r w:rsidRPr="002D127D">
        <w:t>4.</w:t>
      </w:r>
      <w:r w:rsidRPr="002D127D">
        <w:tab/>
        <w:t xml:space="preserve">Ak A, Ogun CO, Bayir A, Kayis SA, Koylu R. Prediction of Arterial Blood Gas Values from Venous Blood Gas Values in Patients with Acute Exacerbation of Chronic Obstructive Pulmonary Disease. </w:t>
      </w:r>
      <w:r w:rsidRPr="002D127D">
        <w:rPr>
          <w:i/>
          <w:iCs/>
        </w:rPr>
        <w:t>Tohoku J Exp Med</w:t>
      </w:r>
      <w:r w:rsidRPr="002D127D">
        <w:t>. 2006;210(4):285-290. doi:10.1620/tjem.210.285</w:t>
      </w:r>
    </w:p>
    <w:p w14:paraId="21F183A5" w14:textId="77777777" w:rsidR="002D127D" w:rsidRPr="002D127D" w:rsidRDefault="002D127D" w:rsidP="002D127D">
      <w:pPr>
        <w:pStyle w:val="Bibliography"/>
      </w:pPr>
      <w:r w:rsidRPr="002D127D">
        <w:t>5.</w:t>
      </w:r>
      <w:r w:rsidRPr="002D127D">
        <w:tab/>
        <w:t xml:space="preserve">Hemming K, Hall J, Copas A, Watson S, Taljaard M, Hooper R. Covariate adjustment in cluster randomised trials: a practical guide. </w:t>
      </w:r>
      <w:r w:rsidRPr="002D127D">
        <w:rPr>
          <w:i/>
          <w:iCs/>
        </w:rPr>
        <w:t>BMJ</w:t>
      </w:r>
      <w:r w:rsidRPr="002D127D">
        <w:t>. 2025;391:e084194. doi:10.1136/bmj-2025-084194</w:t>
      </w:r>
    </w:p>
    <w:p w14:paraId="1DB02C02" w14:textId="219C679B" w:rsidR="0077289B" w:rsidRDefault="008A1CF7">
      <w:pPr>
        <w:spacing w:after="0"/>
        <w:rPr>
          <w:b/>
          <w:bCs/>
          <w:u w:val="single"/>
        </w:rPr>
      </w:pPr>
      <w:r>
        <w:rPr>
          <w:b/>
          <w:bCs/>
          <w:u w:val="single"/>
        </w:rPr>
        <w:fldChar w:fldCharType="end"/>
      </w:r>
      <w:r w:rsidR="0077289B">
        <w:rPr>
          <w:b/>
          <w:bCs/>
          <w:u w:val="single"/>
        </w:rPr>
        <w:br w:type="page"/>
      </w:r>
    </w:p>
    <w:p w14:paraId="2B602BBC" w14:textId="203069BA" w:rsidR="0065351D" w:rsidRPr="0065351D" w:rsidRDefault="0065351D" w:rsidP="0065351D">
      <w:pPr>
        <w:pStyle w:val="Title"/>
      </w:pPr>
      <w:r w:rsidRPr="0065351D">
        <w:lastRenderedPageBreak/>
        <w:t>Figures</w:t>
      </w:r>
    </w:p>
    <w:p w14:paraId="5E7AA9E6" w14:textId="78E9097F" w:rsidR="0065351D" w:rsidRDefault="0065351D" w:rsidP="00105578">
      <w:pPr>
        <w:pStyle w:val="Subtitle"/>
      </w:pPr>
      <w:r>
        <w:t>Figure 1</w:t>
      </w:r>
    </w:p>
    <w:p w14:paraId="1923A89D" w14:textId="50C946BA" w:rsidR="0065351D" w:rsidRDefault="0065351D" w:rsidP="0065351D">
      <w:r>
        <w:rPr>
          <w:noProof/>
          <w14:ligatures w14:val="standardContextual"/>
        </w:rPr>
        <w:drawing>
          <wp:inline distT="0" distB="0" distL="0" distR="0" wp14:anchorId="54AB2CBA" wp14:editId="518B036D">
            <wp:extent cx="5943600" cy="4953000"/>
            <wp:effectExtent l="0" t="0" r="0" b="0"/>
            <wp:docPr id="80286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2280" name="Picture 8028622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7FFE908A" w14:textId="77777777" w:rsidR="0065351D" w:rsidRPr="0065351D" w:rsidRDefault="0065351D" w:rsidP="0065351D">
      <w:r w:rsidRPr="0065351D">
        <w:rPr>
          <w:b/>
          <w:bCs/>
        </w:rPr>
        <w:t>Figure 1. Cohort assembly and target population for inverse probability-of-sampling weighting.</w:t>
      </w:r>
      <w:r w:rsidRPr="0065351D">
        <w:br/>
        <w:t>Among 833,476 extracted encounters meeting the hypercapnia-suspicion phenotype, 318,190 ambulatory encounters were excluded, leaving 515,286 emergency department or inpatient encounters in the analytic source cohort. Within this cohort, 187,242 encounters had an ABG and 149,663 had a VBG on the calendar day of encounter start. Separate ABG-tested and VBG-tested cohorts were then reweighted to the same eligible source population using inverse probability-of-sampling weighting.</w:t>
      </w:r>
    </w:p>
    <w:p w14:paraId="43728C7B" w14:textId="77777777" w:rsidR="0065351D" w:rsidRDefault="0065351D" w:rsidP="0065351D"/>
    <w:p w14:paraId="133CA374" w14:textId="7376BE2C" w:rsidR="0065351D" w:rsidRDefault="0065351D" w:rsidP="00105578">
      <w:pPr>
        <w:pStyle w:val="Subtitle"/>
      </w:pPr>
      <w:r>
        <w:t>Figure 2</w:t>
      </w:r>
    </w:p>
    <w:p w14:paraId="330F7976" w14:textId="77777777" w:rsidR="00A16EC0" w:rsidRDefault="00A16EC0" w:rsidP="00A16EC0">
      <w:pPr>
        <w:pStyle w:val="p2"/>
        <w:spacing w:before="0" w:beforeAutospacing="0" w:after="0" w:afterAutospacing="0"/>
        <w:rPr>
          <w:color w:val="000000"/>
        </w:rPr>
      </w:pPr>
    </w:p>
    <w:p w14:paraId="73B36DAB" w14:textId="77777777" w:rsidR="00A16EC0" w:rsidRPr="0054705A" w:rsidRDefault="00A16EC0" w:rsidP="00A16EC0">
      <w:pPr>
        <w:pStyle w:val="p2"/>
        <w:spacing w:before="0" w:beforeAutospacing="0" w:after="0" w:afterAutospacing="0"/>
        <w:rPr>
          <w:color w:val="000000"/>
        </w:rPr>
      </w:pPr>
    </w:p>
    <w:p w14:paraId="55BF5C62" w14:textId="77777777" w:rsidR="00A16EC0" w:rsidRDefault="00A16EC0" w:rsidP="00A16EC0">
      <w:pPr>
        <w:pStyle w:val="li1"/>
        <w:spacing w:before="0" w:beforeAutospacing="0" w:after="0" w:afterAutospacing="0"/>
        <w:rPr>
          <w:b/>
          <w:bCs/>
          <w:color w:val="000000"/>
        </w:rPr>
      </w:pPr>
      <w:r>
        <w:rPr>
          <w:b/>
          <w:bCs/>
          <w:noProof/>
          <w:color w:val="000000"/>
          <w14:ligatures w14:val="standardContextual"/>
        </w:rPr>
        <w:lastRenderedPageBreak/>
        <w:drawing>
          <wp:inline distT="0" distB="0" distL="0" distR="0" wp14:anchorId="762DBDDD" wp14:editId="53D9CAB5">
            <wp:extent cx="5943600" cy="4306570"/>
            <wp:effectExtent l="0" t="0" r="0" b="0"/>
            <wp:docPr id="800861993" name="Picture 9"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3182" name="Picture 9" descr="A graph of different types of line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4306570"/>
                    </a:xfrm>
                    <a:prstGeom prst="rect">
                      <a:avLst/>
                    </a:prstGeom>
                  </pic:spPr>
                </pic:pic>
              </a:graphicData>
            </a:graphic>
          </wp:inline>
        </w:drawing>
      </w:r>
    </w:p>
    <w:p w14:paraId="0DB09C09" w14:textId="36A0DD59" w:rsidR="0065351D" w:rsidRDefault="00A16EC0" w:rsidP="0065351D">
      <w:r w:rsidRPr="007D4481">
        <w:t xml:space="preserve">Figure </w:t>
      </w:r>
      <w:r>
        <w:t>2</w:t>
      </w:r>
      <w:r w:rsidRPr="007D4481">
        <w:t xml:space="preserve">: </w:t>
      </w:r>
      <w:r>
        <w:t xml:space="preserve">Inverse Propensity Weighted Predicted Probability by ABG and VBG for the four outcomes. Across the four outcomes, ABG and VBG had similar likelihood of receiving the four outcomes. </w:t>
      </w:r>
    </w:p>
    <w:p w14:paraId="41520F9E" w14:textId="51B7E63F" w:rsidR="0065351D" w:rsidRDefault="0065351D" w:rsidP="00105578">
      <w:pPr>
        <w:pStyle w:val="Subtitle"/>
      </w:pPr>
      <w:r>
        <w:t>Figure 3</w:t>
      </w:r>
    </w:p>
    <w:p w14:paraId="2766282F" w14:textId="77777777" w:rsidR="00A16EC0" w:rsidRDefault="00A16EC0" w:rsidP="00A16EC0">
      <w:r>
        <w:rPr>
          <w:noProof/>
        </w:rPr>
        <w:lastRenderedPageBreak/>
        <w:drawing>
          <wp:inline distT="0" distB="0" distL="0" distR="0" wp14:anchorId="14338A65" wp14:editId="1851038F">
            <wp:extent cx="5943600" cy="3418840"/>
            <wp:effectExtent l="0" t="0" r="0" b="0"/>
            <wp:docPr id="873608977" name="Picture 8"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8021" name="Picture 8" descr="A graph with red and blue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418840"/>
                    </a:xfrm>
                    <a:prstGeom prst="rect">
                      <a:avLst/>
                    </a:prstGeom>
                  </pic:spPr>
                </pic:pic>
              </a:graphicData>
            </a:graphic>
          </wp:inline>
        </w:drawing>
      </w:r>
    </w:p>
    <w:p w14:paraId="15205397" w14:textId="77777777" w:rsidR="00A16EC0" w:rsidRDefault="00A16EC0" w:rsidP="00A16EC0">
      <w:r w:rsidRPr="008A4841">
        <w:t xml:space="preserve">Figure </w:t>
      </w:r>
      <w:r>
        <w:t>3</w:t>
      </w:r>
      <w:r w:rsidRPr="008A4841">
        <w:t xml:space="preserve">: Inverse Propensity Weighted Odds Ratio of Outcomes by </w:t>
      </w:r>
      <w:r w:rsidRPr="00130945">
        <w:t xml:space="preserve">pCO₂ </w:t>
      </w:r>
      <w:r w:rsidRPr="00B21F6A">
        <w:t>Category (</w:t>
      </w:r>
      <w:r>
        <w:t>hypocapnia and hypercapnia)</w:t>
      </w:r>
      <w:r w:rsidRPr="00B21F6A">
        <w:t>.</w:t>
      </w:r>
      <w:r>
        <w:t xml:space="preserve"> </w:t>
      </w:r>
      <w:r w:rsidRPr="008A4841">
        <w:t xml:space="preserve"> </w:t>
      </w:r>
      <w:r w:rsidRPr="00B21F6A">
        <w:t xml:space="preserve">The </w:t>
      </w:r>
      <w:r>
        <w:t>hypercapnia</w:t>
      </w:r>
      <w:r w:rsidRPr="00130945">
        <w:t xml:space="preserve"> </w:t>
      </w:r>
      <w:r w:rsidRPr="00B21F6A">
        <w:t xml:space="preserve">groups have much higher likelihood of receiving noninvasive ventilation and diagnosis of hypercapnic respiratory failure compared to the </w:t>
      </w:r>
      <w:r>
        <w:t>hypocapnia</w:t>
      </w:r>
      <w:r w:rsidRPr="00130945">
        <w:t xml:space="preserve"> </w:t>
      </w:r>
      <w:r w:rsidRPr="00B21F6A">
        <w:t>group</w:t>
      </w:r>
      <w:r>
        <w:t>s</w:t>
      </w:r>
      <w:r w:rsidRPr="00B21F6A">
        <w:t>.</w:t>
      </w:r>
      <w:r>
        <w:t xml:space="preserve"> Mortality had similar odds ratio for hypocapnia and hypercapnia groups across ABG and VBGs.   </w:t>
      </w:r>
    </w:p>
    <w:p w14:paraId="020665D9" w14:textId="77777777" w:rsidR="0065351D" w:rsidRPr="0065351D" w:rsidRDefault="0065351D" w:rsidP="00105578"/>
    <w:p w14:paraId="71ACE286" w14:textId="77777777" w:rsidR="0065351D" w:rsidRDefault="0065351D" w:rsidP="0065351D">
      <w:pPr>
        <w:rPr>
          <w:rFonts w:eastAsiaTheme="minorEastAsia" w:cs="Times New Roman (Body CS)"/>
          <w:b/>
          <w:bCs/>
          <w:color w:val="000000"/>
          <w:szCs w:val="22"/>
          <w:u w:val="single"/>
        </w:rPr>
      </w:pPr>
      <w:r>
        <w:br w:type="page"/>
      </w:r>
    </w:p>
    <w:p w14:paraId="1C8048FD" w14:textId="26965E50" w:rsidR="0065351D" w:rsidRDefault="0065351D" w:rsidP="00105578">
      <w:pPr>
        <w:pStyle w:val="Title"/>
      </w:pPr>
      <w:r>
        <w:lastRenderedPageBreak/>
        <w:t>Tables</w:t>
      </w:r>
    </w:p>
    <w:p w14:paraId="277D134E" w14:textId="344665BE" w:rsidR="0065351D" w:rsidRDefault="0065351D" w:rsidP="00105578">
      <w:pPr>
        <w:pStyle w:val="Subtitle"/>
      </w:pPr>
      <w:r>
        <w:t>Table 1</w:t>
      </w:r>
      <w:r w:rsidR="008270B7">
        <w:t xml:space="preserve"> </w:t>
      </w:r>
      <w:r w:rsidR="008270B7" w:rsidRPr="008270B7">
        <w:t>Baseline characteristics of the analytic cohort overall and by receipt of arterial and venous blood gas testing</w:t>
      </w:r>
    </w:p>
    <w:p w14:paraId="41BD3D9D" w14:textId="77777777" w:rsidR="008270B7" w:rsidRPr="008270B7" w:rsidRDefault="008270B7" w:rsidP="00105578">
      <w:r w:rsidRPr="008270B7">
        <w:t>Use tbl1_abg, tbl1_vbg, and tbl1 in the active notebook as the canonical Table 1 objects.</w:t>
      </w:r>
    </w:p>
    <w:p w14:paraId="13F197AA" w14:textId="77777777" w:rsidR="008270B7" w:rsidRPr="008270B7" w:rsidRDefault="008270B7" w:rsidP="00105578">
      <w:r w:rsidRPr="008270B7">
        <w:t>Use subset_data plus vars_baseline, abg_status, and vbg_status as the raw table source.</w:t>
      </w:r>
    </w:p>
    <w:p w14:paraId="36541040" w14:textId="77777777" w:rsidR="008270B7" w:rsidRPr="008270B7" w:rsidRDefault="008270B7" w:rsidP="00105578">
      <w:r w:rsidRPr="008270B7">
        <w:t>Do not use the current Results/Table1*.docx files for full-cohort reporting.</w:t>
      </w:r>
    </w:p>
    <w:p w14:paraId="6F8EFC23" w14:textId="3EBDB53D" w:rsidR="008270B7" w:rsidRDefault="008270B7" w:rsidP="002408FC">
      <w:r w:rsidRPr="008270B7">
        <w:t>Values are presented as mean ± SD for continuous variables and n (%) for categorical variables. Columns show the overall analytic cohort and unadjusted distributions stratified by receipt of arterial blood gas (ABG) and venous blood gas (VBG) testing during the index encounter. Percentages are column percentages. Patients could contribute more than one encounter.</w:t>
      </w:r>
    </w:p>
    <w:p w14:paraId="2B412857" w14:textId="77777777" w:rsidR="008270B7" w:rsidRDefault="008270B7" w:rsidP="002408FC"/>
    <w:p w14:paraId="0572CA04" w14:textId="77777777" w:rsidR="0065351D" w:rsidRPr="0065351D" w:rsidRDefault="0065351D" w:rsidP="00105578"/>
    <w:p w14:paraId="3B668ECC" w14:textId="77777777" w:rsidR="002408FC" w:rsidRDefault="002408FC" w:rsidP="002408FC">
      <w:pPr>
        <w:rPr>
          <w:rFonts w:eastAsiaTheme="minorEastAsia" w:cs="Times New Roman (Body CS)"/>
          <w:b/>
          <w:bCs/>
          <w:color w:val="000000"/>
          <w:szCs w:val="22"/>
          <w:u w:val="single"/>
        </w:rPr>
      </w:pPr>
      <w:r>
        <w:br w:type="page"/>
      </w:r>
    </w:p>
    <w:p w14:paraId="481BE900" w14:textId="388AAEF4" w:rsidR="00014022" w:rsidRPr="006746ED" w:rsidRDefault="00B662BC" w:rsidP="00B934C7">
      <w:pPr>
        <w:pStyle w:val="Title"/>
      </w:pPr>
      <w:r w:rsidRPr="006746ED">
        <w:lastRenderedPageBreak/>
        <w:t xml:space="preserve">Supplement: </w:t>
      </w:r>
    </w:p>
    <w:p w14:paraId="06CA7D75" w14:textId="66CE723A" w:rsidR="00B662BC" w:rsidRDefault="00B662BC" w:rsidP="0077289B">
      <w:r w:rsidRPr="006746ED">
        <w:t xml:space="preserve">Things like the propensity diagnostics could be included in the supplement. </w:t>
      </w:r>
    </w:p>
    <w:p w14:paraId="28B7B912" w14:textId="28341B91" w:rsidR="00AD2A62" w:rsidRPr="00600BB9" w:rsidRDefault="00AD2A62" w:rsidP="00B934C7">
      <w:pPr>
        <w:pStyle w:val="Subtitle"/>
        <w:rPr>
          <w:bCs/>
        </w:rPr>
      </w:pPr>
      <w:r w:rsidRPr="00600BB9">
        <w:rPr>
          <w:bCs/>
        </w:rPr>
        <w:t xml:space="preserve">Figure S1: Covariate Balance depicted below. Absolute Standardized Mean Differences were reduced to below 0.1, indicating adequate balance. </w:t>
      </w:r>
    </w:p>
    <w:p w14:paraId="36118383" w14:textId="50157E71" w:rsidR="00D10E22" w:rsidRDefault="00D10E22" w:rsidP="0077289B">
      <w:r>
        <w:rPr>
          <w:noProof/>
        </w:rPr>
        <w:drawing>
          <wp:inline distT="0" distB="0" distL="0" distR="0" wp14:anchorId="5EE03C76" wp14:editId="2636C791">
            <wp:extent cx="5943600" cy="3712119"/>
            <wp:effectExtent l="0" t="0" r="0" b="0"/>
            <wp:docPr id="313996972" name="Picture 1" descr="A diagram of a number of different colore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6972" name="Picture 1" descr="A diagram of a number of different colored points&#10;&#10;Description automatically generated with medium confidence"/>
                    <pic:cNvPicPr/>
                  </pic:nvPicPr>
                  <pic:blipFill rotWithShape="1">
                    <a:blip r:embed="rId14">
                      <a:extLst>
                        <a:ext uri="{28A0092B-C50C-407E-A947-70E740481C1C}">
                          <a14:useLocalDpi xmlns:a14="http://schemas.microsoft.com/office/drawing/2010/main" val="0"/>
                        </a:ext>
                      </a:extLst>
                    </a:blip>
                    <a:srcRect t="7253"/>
                    <a:stretch/>
                  </pic:blipFill>
                  <pic:spPr bwMode="auto">
                    <a:xfrm>
                      <a:off x="0" y="0"/>
                      <a:ext cx="5949357" cy="3715715"/>
                    </a:xfrm>
                    <a:prstGeom prst="rect">
                      <a:avLst/>
                    </a:prstGeom>
                    <a:ln>
                      <a:noFill/>
                    </a:ln>
                    <a:extLst>
                      <a:ext uri="{53640926-AAD7-44D8-BBD7-CCE9431645EC}">
                        <a14:shadowObscured xmlns:a14="http://schemas.microsoft.com/office/drawing/2010/main"/>
                      </a:ext>
                    </a:extLst>
                  </pic:spPr>
                </pic:pic>
              </a:graphicData>
            </a:graphic>
          </wp:inline>
        </w:drawing>
      </w:r>
    </w:p>
    <w:p w14:paraId="490DB4DA" w14:textId="77777777" w:rsidR="00AD2A62" w:rsidRDefault="00AD2A62"/>
    <w:p w14:paraId="36BA8D7E" w14:textId="18D93D9E" w:rsidR="00796D4C" w:rsidRPr="008A38A0" w:rsidRDefault="00796D4C" w:rsidP="00B934C7">
      <w:pPr>
        <w:pStyle w:val="Subtitle"/>
      </w:pPr>
      <w:r w:rsidRPr="008A38A0">
        <w:t xml:space="preserve">Figure </w:t>
      </w:r>
      <w:r>
        <w:t>S</w:t>
      </w:r>
      <w:r w:rsidR="00AD2A62">
        <w:t>2</w:t>
      </w:r>
      <w:r w:rsidRPr="008A38A0">
        <w:t xml:space="preserve">: Distribution of </w:t>
      </w:r>
      <w:r>
        <w:t>Inverse P</w:t>
      </w:r>
      <w:r w:rsidRPr="008A38A0">
        <w:t>ropensity</w:t>
      </w:r>
      <w:r>
        <w:t>-Weighted</w:t>
      </w:r>
      <w:r w:rsidRPr="008A38A0">
        <w:t xml:space="preserve"> Scores </w:t>
      </w:r>
      <w:r>
        <w:t>for</w:t>
      </w:r>
      <w:r w:rsidRPr="008A38A0">
        <w:t xml:space="preserve"> ABG</w:t>
      </w:r>
      <w:r>
        <w:t xml:space="preserve"> and </w:t>
      </w:r>
      <w:r w:rsidRPr="008A38A0">
        <w:t xml:space="preserve">VBG groups. </w:t>
      </w:r>
      <w:r>
        <w:t xml:space="preserve">Untested patients clustered near zero, while tested patients were skewed toward higher probabilities of being tested. </w:t>
      </w:r>
    </w:p>
    <w:p w14:paraId="1FC71582" w14:textId="3E199C39" w:rsidR="00796D4C" w:rsidRDefault="00DC310B" w:rsidP="00B934C7">
      <w:r>
        <w:rPr>
          <w:noProof/>
        </w:rPr>
        <w:lastRenderedPageBreak/>
        <w:drawing>
          <wp:inline distT="0" distB="0" distL="0" distR="0" wp14:anchorId="479258F6" wp14:editId="1FB02655">
            <wp:extent cx="5943600" cy="3179445"/>
            <wp:effectExtent l="0" t="0" r="0" b="0"/>
            <wp:docPr id="582769778" name="Picture 3"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9778" name="Picture 3" descr="A graph of a graph of a graph&#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3390EEA6" w14:textId="77777777" w:rsidR="00796D4C" w:rsidRDefault="00796D4C" w:rsidP="00B934C7"/>
    <w:p w14:paraId="53834A10" w14:textId="77777777" w:rsidR="009D556C" w:rsidRDefault="009D556C"/>
    <w:p w14:paraId="692E106C" w14:textId="77777777" w:rsidR="009D556C" w:rsidRDefault="009D556C"/>
    <w:p w14:paraId="50224391" w14:textId="77777777" w:rsidR="009D556C" w:rsidRDefault="009D556C"/>
    <w:p w14:paraId="4CDAAF0E" w14:textId="77777777" w:rsidR="009D556C" w:rsidRDefault="009D556C"/>
    <w:p w14:paraId="4B8FEAD9" w14:textId="77777777" w:rsidR="009D556C" w:rsidRDefault="009D556C"/>
    <w:p w14:paraId="5EB2CB09" w14:textId="77777777" w:rsidR="009D556C" w:rsidRDefault="009D556C"/>
    <w:p w14:paraId="5DE8C15B" w14:textId="77777777" w:rsidR="009D556C" w:rsidRDefault="009D556C"/>
    <w:p w14:paraId="751A0112" w14:textId="77777777" w:rsidR="009D556C" w:rsidRDefault="009D556C"/>
    <w:p w14:paraId="2687E853" w14:textId="77777777" w:rsidR="009D556C" w:rsidRDefault="009D556C"/>
    <w:p w14:paraId="5DC3792B" w14:textId="77777777" w:rsidR="009D556C" w:rsidRDefault="009D556C"/>
    <w:p w14:paraId="3BC5DEF0" w14:textId="77777777" w:rsidR="009D556C" w:rsidRDefault="009D556C"/>
    <w:p w14:paraId="6089D3C8" w14:textId="77777777" w:rsidR="009D556C" w:rsidRDefault="009D556C"/>
    <w:p w14:paraId="51952F41" w14:textId="77777777" w:rsidR="009D556C" w:rsidRDefault="009D556C"/>
    <w:p w14:paraId="6BA11089" w14:textId="77777777" w:rsidR="009D556C" w:rsidRDefault="009D556C"/>
    <w:p w14:paraId="4911CFD4" w14:textId="77777777" w:rsidR="009D556C" w:rsidRDefault="009D556C"/>
    <w:p w14:paraId="2CEEF4E9" w14:textId="77777777" w:rsidR="009D556C" w:rsidRDefault="009D556C"/>
    <w:p w14:paraId="503C2FC1" w14:textId="77777777" w:rsidR="009D556C" w:rsidRDefault="009D556C"/>
    <w:p w14:paraId="3D3CE44C" w14:textId="493AA266" w:rsidR="009D556C" w:rsidRPr="00D64177" w:rsidRDefault="00AD2A62" w:rsidP="00B934C7">
      <w:pPr>
        <w:pStyle w:val="Subtitle"/>
      </w:pPr>
      <w:r w:rsidRPr="00D64177">
        <w:lastRenderedPageBreak/>
        <w:t xml:space="preserve">Figure S3: Global SHAP </w:t>
      </w:r>
      <w:r w:rsidR="009D556C" w:rsidRPr="00D64177">
        <w:t>values</w:t>
      </w:r>
      <w:r w:rsidRPr="00D64177">
        <w:t xml:space="preserve"> </w:t>
      </w:r>
      <w:r w:rsidR="009D556C" w:rsidRPr="00D64177">
        <w:t xml:space="preserve">for the ABG </w:t>
      </w:r>
      <w:r w:rsidR="002D0D41" w:rsidRPr="00D64177">
        <w:t xml:space="preserve">and VBG </w:t>
      </w:r>
      <w:r w:rsidR="009D556C" w:rsidRPr="00D64177">
        <w:t>propensity model</w:t>
      </w:r>
      <w:r w:rsidR="002D0D41" w:rsidRPr="00D64177">
        <w:t xml:space="preserve">. This demonstrates that the serum lactate was the dominant driver across both ABG and VBG cohorts followed by serum creatinine. </w:t>
      </w:r>
    </w:p>
    <w:p w14:paraId="0EC28029" w14:textId="39700B7C" w:rsidR="009D556C" w:rsidRDefault="00DC310B" w:rsidP="0077289B">
      <w:r>
        <w:rPr>
          <w:noProof/>
        </w:rPr>
        <w:drawing>
          <wp:inline distT="0" distB="0" distL="0" distR="0" wp14:anchorId="15AE5FD9" wp14:editId="0C85652F">
            <wp:extent cx="5943600" cy="3135539"/>
            <wp:effectExtent l="0" t="0" r="0" b="1905"/>
            <wp:docPr id="1764014954"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14954" name="Picture 2" descr="A graph of different colored squares&#10;&#10;Description automatically generated"/>
                    <pic:cNvPicPr/>
                  </pic:nvPicPr>
                  <pic:blipFill rotWithShape="1">
                    <a:blip r:embed="rId16">
                      <a:extLst>
                        <a:ext uri="{28A0092B-C50C-407E-A947-70E740481C1C}">
                          <a14:useLocalDpi xmlns:a14="http://schemas.microsoft.com/office/drawing/2010/main" val="0"/>
                        </a:ext>
                      </a:extLst>
                    </a:blip>
                    <a:srcRect t="5676"/>
                    <a:stretch/>
                  </pic:blipFill>
                  <pic:spPr bwMode="auto">
                    <a:xfrm>
                      <a:off x="0" y="0"/>
                      <a:ext cx="5943600" cy="3135539"/>
                    </a:xfrm>
                    <a:prstGeom prst="rect">
                      <a:avLst/>
                    </a:prstGeom>
                    <a:ln>
                      <a:noFill/>
                    </a:ln>
                    <a:extLst>
                      <a:ext uri="{53640926-AAD7-44D8-BBD7-CCE9431645EC}">
                        <a14:shadowObscured xmlns:a14="http://schemas.microsoft.com/office/drawing/2010/main"/>
                      </a:ext>
                    </a:extLst>
                  </pic:spPr>
                </pic:pic>
              </a:graphicData>
            </a:graphic>
          </wp:inline>
        </w:drawing>
      </w:r>
    </w:p>
    <w:p w14:paraId="0100A552" w14:textId="712F899F" w:rsidR="009D556C" w:rsidRDefault="009D556C"/>
    <w:p w14:paraId="29F85D15" w14:textId="1826DA89" w:rsidR="00ED24CB" w:rsidRDefault="00ED24CB">
      <w:r>
        <w:t xml:space="preserve">Figure S4: </w:t>
      </w:r>
      <w:r>
        <w:t>Supplementary Figure S4</w:t>
      </w:r>
      <w:r>
        <w:t xml:space="preserve"> – categorical representation of the main results figure. </w:t>
      </w:r>
    </w:p>
    <w:p w14:paraId="4C770157" w14:textId="16314331" w:rsidR="00ED24CB" w:rsidRDefault="002408FC">
      <w:r>
        <w:t>[ ] TBD</w:t>
      </w:r>
    </w:p>
    <w:p w14:paraId="00D26073" w14:textId="7D338C43" w:rsidR="002408FC" w:rsidRDefault="002408FC" w:rsidP="00105578">
      <w:r w:rsidRPr="00105578">
        <w:rPr>
          <w:rStyle w:val="SubtitleChar"/>
        </w:rPr>
        <w:t>Supplementary Figure 5: Unweighted covariate-adjusted spline associations of pCO₂ with clinical outcomes by ABG and VBG</w:t>
      </w:r>
      <w:r w:rsidRPr="00105578">
        <w:rPr>
          <w:rStyle w:val="TitleChar"/>
        </w:rPr>
        <w:br/>
      </w:r>
      <w:r>
        <w:t>Use the same 2 × 4 layout and axis conventions as the primary weighted spline figure, but for the unweighted covariate-adjusted models.</w:t>
      </w:r>
    </w:p>
    <w:p w14:paraId="21CAD71F" w14:textId="77777777" w:rsidR="002408FC" w:rsidRDefault="002408FC" w:rsidP="00105578">
      <w:r>
        <w:t xml:space="preserve">This is the visual companion to the second sentence of the </w:t>
      </w:r>
      <w:r>
        <w:rPr>
          <w:rStyle w:val="Strong"/>
        </w:rPr>
        <w:t>Secondary analyses</w:t>
      </w:r>
      <w:r>
        <w:t xml:space="preserve"> paragraph.</w:t>
      </w:r>
    </w:p>
    <w:p w14:paraId="00DA30E0" w14:textId="77777777" w:rsidR="002408FC" w:rsidRDefault="002408FC"/>
    <w:p w14:paraId="677F512D" w14:textId="251F7BAA" w:rsidR="002408FC" w:rsidRPr="002408FC" w:rsidRDefault="002408FC" w:rsidP="00105578">
      <w:r w:rsidRPr="00105578">
        <w:rPr>
          <w:rStyle w:val="SubtitleChar"/>
        </w:rPr>
        <w:t>Supplementary Table 3Gradient-boosted propensity-weighted associations of pCO₂ category with clinical outcomes by ABG and VBG</w:t>
      </w:r>
      <w:r w:rsidRPr="002408FC">
        <w:br/>
        <w:t xml:space="preserve">Report GBM-weighted odds ratios and 95% CIs for </w:t>
      </w:r>
      <w:r w:rsidRPr="002408FC">
        <w:rPr>
          <w:b/>
          <w:bCs/>
        </w:rPr>
        <w:t>low vs normal</w:t>
      </w:r>
      <w:r w:rsidRPr="002408FC">
        <w:t xml:space="preserve"> and </w:t>
      </w:r>
      <w:r w:rsidRPr="002408FC">
        <w:rPr>
          <w:b/>
          <w:bCs/>
        </w:rPr>
        <w:t>high vs normal</w:t>
      </w:r>
      <w:r w:rsidRPr="002408FC">
        <w:t xml:space="preserve"> pCO₂, shown separately for ABG and VBG across the same four outcomes.</w:t>
      </w:r>
    </w:p>
    <w:p w14:paraId="1A5A0CC2" w14:textId="77777777" w:rsidR="002408FC" w:rsidRPr="002408FC" w:rsidRDefault="002408FC" w:rsidP="00105578">
      <w:r w:rsidRPr="002408FC">
        <w:t xml:space="preserve">This is the cleanest companion to the first sentence of the </w:t>
      </w:r>
      <w:r w:rsidRPr="002408FC">
        <w:rPr>
          <w:b/>
          <w:bCs/>
        </w:rPr>
        <w:t>Sensitivity analyses and diagnostics</w:t>
      </w:r>
      <w:r w:rsidRPr="002408FC">
        <w:t xml:space="preserve"> paragraph.</w:t>
      </w:r>
    </w:p>
    <w:p w14:paraId="4CEED685" w14:textId="369C83BF" w:rsidR="002408FC" w:rsidRPr="002408FC" w:rsidRDefault="002408FC" w:rsidP="002408FC">
      <w:r w:rsidRPr="00105578">
        <w:rPr>
          <w:rStyle w:val="SubtitleChar"/>
        </w:rPr>
        <w:t>Supplementary Figure 6 Covariate balance after gradient-boosted propensity weighting for ABG and VBG test-ordering models</w:t>
      </w:r>
      <w:r w:rsidRPr="002408FC">
        <w:br/>
      </w:r>
      <w:r w:rsidRPr="002408FC">
        <w:t>Love plot or balance plot showing absolute standardized mean differences before and after GBM weighting, separately for ABG and VBG.</w:t>
      </w:r>
    </w:p>
    <w:p w14:paraId="375DD328" w14:textId="3F846D5B" w:rsidR="002408FC" w:rsidRPr="002408FC" w:rsidRDefault="002408FC" w:rsidP="002408FC">
      <w:r w:rsidRPr="00105578">
        <w:rPr>
          <w:rStyle w:val="SubtitleChar"/>
        </w:rPr>
        <w:t>Supplementary Figure 7 Propensity-score overlap for gradient-boosted ABG and VBG test-ordering models</w:t>
      </w:r>
      <w:r w:rsidRPr="002408FC">
        <w:br/>
      </w:r>
      <w:r w:rsidRPr="002408FC">
        <w:lastRenderedPageBreak/>
        <w:t>Distribution plot of propensity scores for tested vs untested encounters under the GBM sensitivity models, shown separately for ABG and VBG.</w:t>
      </w:r>
    </w:p>
    <w:p w14:paraId="63F464FF" w14:textId="3A0D9A07" w:rsidR="002408FC" w:rsidRPr="002408FC" w:rsidRDefault="002408FC" w:rsidP="002408FC">
      <w:r w:rsidRPr="00105578">
        <w:rPr>
          <w:rStyle w:val="SubtitleChar"/>
        </w:rPr>
        <w:t>Supplementary Figure 8 SHAP-style contribution summaries for gradient-boosted ABG and VBG test-ordering models</w:t>
      </w:r>
      <w:r w:rsidRPr="002408FC">
        <w:br/>
        <w:t>Top mean absolute contribution features for the GBM test-ordering models, shown separately for ABG and VBG.</w:t>
      </w:r>
    </w:p>
    <w:p w14:paraId="5D560A34" w14:textId="77777777" w:rsidR="00F3127F" w:rsidRDefault="00F3127F"/>
    <w:p w14:paraId="67B850E7" w14:textId="10265384" w:rsidR="002408FC" w:rsidRDefault="002408FC" w:rsidP="00105578">
      <w:pPr>
        <w:pStyle w:val="Title"/>
      </w:pPr>
      <w:r>
        <w:t>Supplementary Tables</w:t>
      </w:r>
    </w:p>
    <w:p w14:paraId="7EA7D105" w14:textId="739BC57B" w:rsidR="00936CD2" w:rsidRDefault="002408FC" w:rsidP="00105578">
      <w:pPr>
        <w:pStyle w:val="Subtitle"/>
      </w:pPr>
      <w:r>
        <w:t xml:space="preserve">Supplementary Table 1: </w:t>
      </w:r>
      <w:r w:rsidR="00936CD2">
        <w:rPr>
          <w:rFonts w:eastAsia="Times New Roman"/>
        </w:rPr>
        <w:t>Inclusion criteria into the enriched sample</w:t>
      </w:r>
    </w:p>
    <w:tbl>
      <w:tblPr>
        <w:tblStyle w:val="TableGrid"/>
        <w:tblW w:w="5000" w:type="pct"/>
        <w:tblLook w:val="04A0" w:firstRow="1" w:lastRow="0" w:firstColumn="1" w:lastColumn="0" w:noHBand="0" w:noVBand="1"/>
      </w:tblPr>
      <w:tblGrid>
        <w:gridCol w:w="3014"/>
        <w:gridCol w:w="2338"/>
        <w:gridCol w:w="3998"/>
      </w:tblGrid>
      <w:tr w:rsidR="00105578" w:rsidRPr="00936CD2" w14:paraId="5BFD88B2" w14:textId="77777777" w:rsidTr="00105578">
        <w:tc>
          <w:tcPr>
            <w:tcW w:w="1612" w:type="pct"/>
            <w:vMerge w:val="restart"/>
            <w:tcMar>
              <w:top w:w="45" w:type="dxa"/>
              <w:left w:w="75" w:type="dxa"/>
              <w:bottom w:w="45" w:type="dxa"/>
              <w:right w:w="75" w:type="dxa"/>
            </w:tcMar>
          </w:tcPr>
          <w:p w14:paraId="070A9CC3" w14:textId="77777777" w:rsidR="00936CD2" w:rsidRPr="00105578" w:rsidRDefault="00936CD2" w:rsidP="00487B9C">
            <w:pPr>
              <w:rPr>
                <w:sz w:val="24"/>
                <w:szCs w:val="24"/>
              </w:rPr>
            </w:pPr>
            <w:r w:rsidRPr="00105578">
              <w:rPr>
                <w:sz w:val="24"/>
                <w:szCs w:val="24"/>
              </w:rPr>
              <w:t>Arterial Blood Gas Sample</w:t>
            </w:r>
            <w:r w:rsidRPr="00105578">
              <w:rPr>
                <w:sz w:val="24"/>
                <w:szCs w:val="24"/>
              </w:rPr>
              <w:br/>
              <w:t>on First Calendar Day</w:t>
            </w:r>
          </w:p>
        </w:tc>
        <w:tc>
          <w:tcPr>
            <w:tcW w:w="1250" w:type="pct"/>
            <w:tcMar>
              <w:top w:w="45" w:type="dxa"/>
              <w:left w:w="75" w:type="dxa"/>
              <w:bottom w:w="45" w:type="dxa"/>
              <w:right w:w="75" w:type="dxa"/>
            </w:tcMar>
          </w:tcPr>
          <w:p w14:paraId="3D2CA68D" w14:textId="77777777" w:rsidR="00936CD2" w:rsidRPr="00105578" w:rsidRDefault="00936CD2" w:rsidP="00487B9C">
            <w:pPr>
              <w:rPr>
                <w:sz w:val="24"/>
                <w:szCs w:val="24"/>
              </w:rPr>
            </w:pPr>
            <w:r w:rsidRPr="00105578">
              <w:rPr>
                <w:sz w:val="24"/>
                <w:szCs w:val="24"/>
              </w:rPr>
              <w:t>LOINC: 2019-8</w:t>
            </w:r>
          </w:p>
        </w:tc>
        <w:tc>
          <w:tcPr>
            <w:tcW w:w="2138" w:type="pct"/>
            <w:tcMar>
              <w:top w:w="45" w:type="dxa"/>
              <w:left w:w="75" w:type="dxa"/>
              <w:bottom w:w="45" w:type="dxa"/>
              <w:right w:w="75" w:type="dxa"/>
            </w:tcMar>
          </w:tcPr>
          <w:p w14:paraId="74FE5486" w14:textId="77777777" w:rsidR="00936CD2" w:rsidRPr="00105578" w:rsidRDefault="00936CD2" w:rsidP="00487B9C">
            <w:pPr>
              <w:rPr>
                <w:sz w:val="24"/>
                <w:szCs w:val="24"/>
              </w:rPr>
            </w:pPr>
            <w:r w:rsidRPr="00105578">
              <w:rPr>
                <w:sz w:val="24"/>
                <w:szCs w:val="24"/>
              </w:rPr>
              <w:t>Arterial CO2</w:t>
            </w:r>
          </w:p>
        </w:tc>
      </w:tr>
      <w:tr w:rsidR="00105578" w:rsidRPr="00936CD2" w14:paraId="6BB7A5B4" w14:textId="77777777" w:rsidTr="00105578">
        <w:tc>
          <w:tcPr>
            <w:tcW w:w="1612" w:type="pct"/>
            <w:vMerge/>
            <w:tcMar>
              <w:top w:w="45" w:type="dxa"/>
              <w:left w:w="75" w:type="dxa"/>
              <w:bottom w:w="45" w:type="dxa"/>
              <w:right w:w="75" w:type="dxa"/>
            </w:tcMar>
          </w:tcPr>
          <w:p w14:paraId="287203C9"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3907F7CF" w14:textId="77777777" w:rsidR="00936CD2" w:rsidRPr="00105578" w:rsidRDefault="00936CD2" w:rsidP="00487B9C">
            <w:pPr>
              <w:rPr>
                <w:sz w:val="24"/>
                <w:szCs w:val="24"/>
              </w:rPr>
            </w:pPr>
            <w:r w:rsidRPr="00105578">
              <w:rPr>
                <w:sz w:val="24"/>
                <w:szCs w:val="24"/>
              </w:rPr>
              <w:t>LOINC: 2026-3</w:t>
            </w:r>
          </w:p>
        </w:tc>
        <w:tc>
          <w:tcPr>
            <w:tcW w:w="2138" w:type="pct"/>
            <w:tcMar>
              <w:top w:w="45" w:type="dxa"/>
              <w:left w:w="75" w:type="dxa"/>
              <w:bottom w:w="45" w:type="dxa"/>
              <w:right w:w="75" w:type="dxa"/>
            </w:tcMar>
          </w:tcPr>
          <w:p w14:paraId="01BA861D" w14:textId="77777777" w:rsidR="00936CD2" w:rsidRPr="00105578" w:rsidRDefault="00936CD2" w:rsidP="00487B9C">
            <w:pPr>
              <w:rPr>
                <w:sz w:val="24"/>
                <w:szCs w:val="24"/>
              </w:rPr>
            </w:pPr>
            <w:r w:rsidRPr="00105578">
              <w:rPr>
                <w:sz w:val="24"/>
                <w:szCs w:val="24"/>
              </w:rPr>
              <w:t>Arterial CO2</w:t>
            </w:r>
          </w:p>
        </w:tc>
      </w:tr>
      <w:tr w:rsidR="00105578" w:rsidRPr="00936CD2" w14:paraId="413A3F74" w14:textId="77777777" w:rsidTr="00105578">
        <w:tc>
          <w:tcPr>
            <w:tcW w:w="1612" w:type="pct"/>
            <w:vMerge/>
            <w:tcMar>
              <w:top w:w="45" w:type="dxa"/>
              <w:left w:w="75" w:type="dxa"/>
              <w:bottom w:w="45" w:type="dxa"/>
              <w:right w:w="75" w:type="dxa"/>
            </w:tcMar>
          </w:tcPr>
          <w:p w14:paraId="7F5CD9CF"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281CCEDD" w14:textId="77777777" w:rsidR="00936CD2" w:rsidRPr="00105578" w:rsidRDefault="00936CD2" w:rsidP="00487B9C">
            <w:pPr>
              <w:rPr>
                <w:sz w:val="24"/>
                <w:szCs w:val="24"/>
              </w:rPr>
            </w:pPr>
            <w:r w:rsidRPr="00105578">
              <w:rPr>
                <w:sz w:val="24"/>
                <w:szCs w:val="24"/>
              </w:rPr>
              <w:t>LOINC: 32771-8</w:t>
            </w:r>
          </w:p>
        </w:tc>
        <w:tc>
          <w:tcPr>
            <w:tcW w:w="2138" w:type="pct"/>
            <w:tcMar>
              <w:top w:w="45" w:type="dxa"/>
              <w:left w:w="75" w:type="dxa"/>
              <w:bottom w:w="45" w:type="dxa"/>
              <w:right w:w="75" w:type="dxa"/>
            </w:tcMar>
          </w:tcPr>
          <w:p w14:paraId="7438C714" w14:textId="77777777" w:rsidR="00936CD2" w:rsidRPr="00105578" w:rsidRDefault="00936CD2" w:rsidP="00487B9C">
            <w:pPr>
              <w:rPr>
                <w:sz w:val="24"/>
                <w:szCs w:val="24"/>
              </w:rPr>
            </w:pPr>
            <w:r w:rsidRPr="00105578">
              <w:rPr>
                <w:sz w:val="24"/>
                <w:szCs w:val="24"/>
              </w:rPr>
              <w:t>Arterial CO2</w:t>
            </w:r>
          </w:p>
        </w:tc>
      </w:tr>
      <w:tr w:rsidR="00105578" w:rsidRPr="00936CD2" w14:paraId="5185B76C" w14:textId="77777777" w:rsidTr="00105578">
        <w:tc>
          <w:tcPr>
            <w:tcW w:w="1612" w:type="pct"/>
            <w:vMerge w:val="restart"/>
            <w:tcMar>
              <w:top w:w="45" w:type="dxa"/>
              <w:left w:w="75" w:type="dxa"/>
              <w:bottom w:w="45" w:type="dxa"/>
              <w:right w:w="75" w:type="dxa"/>
            </w:tcMar>
          </w:tcPr>
          <w:p w14:paraId="72A12246" w14:textId="77777777" w:rsidR="00936CD2" w:rsidRPr="00105578" w:rsidRDefault="00936CD2" w:rsidP="00487B9C">
            <w:pPr>
              <w:rPr>
                <w:sz w:val="24"/>
                <w:szCs w:val="24"/>
              </w:rPr>
            </w:pPr>
            <w:r w:rsidRPr="00105578">
              <w:rPr>
                <w:sz w:val="24"/>
                <w:szCs w:val="24"/>
              </w:rPr>
              <w:t>Venous Blood Gas Sample</w:t>
            </w:r>
            <w:r w:rsidRPr="00105578">
              <w:rPr>
                <w:sz w:val="24"/>
                <w:szCs w:val="24"/>
              </w:rPr>
              <w:br/>
              <w:t>on First Calendar Day</w:t>
            </w:r>
          </w:p>
        </w:tc>
        <w:tc>
          <w:tcPr>
            <w:tcW w:w="1250" w:type="pct"/>
            <w:tcMar>
              <w:top w:w="45" w:type="dxa"/>
              <w:left w:w="75" w:type="dxa"/>
              <w:bottom w:w="45" w:type="dxa"/>
              <w:right w:w="75" w:type="dxa"/>
            </w:tcMar>
          </w:tcPr>
          <w:p w14:paraId="2AACCF2B" w14:textId="77777777" w:rsidR="00936CD2" w:rsidRPr="00105578" w:rsidRDefault="00936CD2" w:rsidP="00487B9C">
            <w:pPr>
              <w:rPr>
                <w:sz w:val="24"/>
                <w:szCs w:val="24"/>
              </w:rPr>
            </w:pPr>
            <w:r w:rsidRPr="00105578">
              <w:rPr>
                <w:sz w:val="24"/>
                <w:szCs w:val="24"/>
              </w:rPr>
              <w:t>LOINC: 115577-6</w:t>
            </w:r>
          </w:p>
        </w:tc>
        <w:tc>
          <w:tcPr>
            <w:tcW w:w="2138" w:type="pct"/>
            <w:tcMar>
              <w:top w:w="45" w:type="dxa"/>
              <w:left w:w="75" w:type="dxa"/>
              <w:bottom w:w="45" w:type="dxa"/>
              <w:right w:w="75" w:type="dxa"/>
            </w:tcMar>
          </w:tcPr>
          <w:p w14:paraId="42946223" w14:textId="77777777" w:rsidR="00936CD2" w:rsidRPr="00105578" w:rsidRDefault="00936CD2" w:rsidP="00487B9C">
            <w:pPr>
              <w:rPr>
                <w:sz w:val="24"/>
                <w:szCs w:val="24"/>
              </w:rPr>
            </w:pPr>
            <w:r w:rsidRPr="00105578">
              <w:rPr>
                <w:sz w:val="24"/>
                <w:szCs w:val="24"/>
              </w:rPr>
              <w:t>CO2 in blood</w:t>
            </w:r>
          </w:p>
        </w:tc>
      </w:tr>
      <w:tr w:rsidR="00105578" w:rsidRPr="00936CD2" w14:paraId="10E8E59E" w14:textId="77777777" w:rsidTr="00105578">
        <w:tc>
          <w:tcPr>
            <w:tcW w:w="1612" w:type="pct"/>
            <w:vMerge/>
            <w:tcMar>
              <w:top w:w="45" w:type="dxa"/>
              <w:left w:w="75" w:type="dxa"/>
              <w:bottom w:w="45" w:type="dxa"/>
              <w:right w:w="75" w:type="dxa"/>
            </w:tcMar>
          </w:tcPr>
          <w:p w14:paraId="11DA9ADB"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0A737743" w14:textId="77777777" w:rsidR="00936CD2" w:rsidRPr="00105578" w:rsidRDefault="00936CD2" w:rsidP="00487B9C">
            <w:pPr>
              <w:rPr>
                <w:sz w:val="24"/>
                <w:szCs w:val="24"/>
              </w:rPr>
            </w:pPr>
            <w:r w:rsidRPr="00105578">
              <w:rPr>
                <w:sz w:val="24"/>
                <w:szCs w:val="24"/>
              </w:rPr>
              <w:t>LOINC: 2021-4</w:t>
            </w:r>
          </w:p>
        </w:tc>
        <w:tc>
          <w:tcPr>
            <w:tcW w:w="2138" w:type="pct"/>
            <w:tcMar>
              <w:top w:w="45" w:type="dxa"/>
              <w:left w:w="75" w:type="dxa"/>
              <w:bottom w:w="45" w:type="dxa"/>
              <w:right w:w="75" w:type="dxa"/>
            </w:tcMar>
          </w:tcPr>
          <w:p w14:paraId="0AB3058F" w14:textId="77777777" w:rsidR="00936CD2" w:rsidRPr="00105578" w:rsidRDefault="00936CD2" w:rsidP="00487B9C">
            <w:pPr>
              <w:rPr>
                <w:sz w:val="24"/>
                <w:szCs w:val="24"/>
              </w:rPr>
            </w:pPr>
            <w:r w:rsidRPr="00105578">
              <w:rPr>
                <w:sz w:val="24"/>
                <w:szCs w:val="24"/>
              </w:rPr>
              <w:t>CO2 in venous blood</w:t>
            </w:r>
          </w:p>
        </w:tc>
      </w:tr>
      <w:tr w:rsidR="00105578" w:rsidRPr="00936CD2" w14:paraId="76BC38A9" w14:textId="77777777" w:rsidTr="00105578">
        <w:tc>
          <w:tcPr>
            <w:tcW w:w="1612" w:type="pct"/>
            <w:tcMar>
              <w:top w:w="45" w:type="dxa"/>
              <w:left w:w="75" w:type="dxa"/>
              <w:bottom w:w="45" w:type="dxa"/>
              <w:right w:w="75" w:type="dxa"/>
            </w:tcMar>
          </w:tcPr>
          <w:p w14:paraId="51BD8762" w14:textId="77777777" w:rsidR="00936CD2" w:rsidRPr="00105578" w:rsidRDefault="00936CD2" w:rsidP="00487B9C">
            <w:pPr>
              <w:rPr>
                <w:sz w:val="24"/>
                <w:szCs w:val="24"/>
              </w:rPr>
            </w:pPr>
            <w:r w:rsidRPr="00105578">
              <w:rPr>
                <w:b/>
                <w:sz w:val="24"/>
                <w:szCs w:val="24"/>
                <w:u w:val="single"/>
              </w:rPr>
              <w:t>Predisposing Condition</w:t>
            </w:r>
          </w:p>
        </w:tc>
        <w:tc>
          <w:tcPr>
            <w:tcW w:w="1250" w:type="pct"/>
            <w:tcMar>
              <w:top w:w="45" w:type="dxa"/>
              <w:left w:w="75" w:type="dxa"/>
              <w:bottom w:w="45" w:type="dxa"/>
              <w:right w:w="75" w:type="dxa"/>
            </w:tcMar>
          </w:tcPr>
          <w:p w14:paraId="6EFFA226" w14:textId="77777777" w:rsidR="00936CD2" w:rsidRPr="00105578" w:rsidRDefault="00936CD2" w:rsidP="00487B9C">
            <w:pPr>
              <w:rPr>
                <w:sz w:val="24"/>
                <w:szCs w:val="24"/>
              </w:rPr>
            </w:pPr>
          </w:p>
        </w:tc>
        <w:tc>
          <w:tcPr>
            <w:tcW w:w="2138" w:type="pct"/>
            <w:tcMar>
              <w:top w:w="45" w:type="dxa"/>
              <w:left w:w="75" w:type="dxa"/>
              <w:bottom w:w="45" w:type="dxa"/>
              <w:right w:w="75" w:type="dxa"/>
            </w:tcMar>
          </w:tcPr>
          <w:p w14:paraId="5FFC8D0E" w14:textId="77777777" w:rsidR="00936CD2" w:rsidRPr="00105578" w:rsidRDefault="00936CD2" w:rsidP="00487B9C">
            <w:pPr>
              <w:rPr>
                <w:sz w:val="24"/>
                <w:szCs w:val="24"/>
              </w:rPr>
            </w:pPr>
          </w:p>
        </w:tc>
      </w:tr>
      <w:tr w:rsidR="00105578" w:rsidRPr="00936CD2" w14:paraId="588F8AEA" w14:textId="77777777" w:rsidTr="00105578">
        <w:tc>
          <w:tcPr>
            <w:tcW w:w="1612" w:type="pct"/>
            <w:vMerge w:val="restart"/>
            <w:tcMar>
              <w:top w:w="45" w:type="dxa"/>
              <w:left w:w="75" w:type="dxa"/>
              <w:bottom w:w="45" w:type="dxa"/>
              <w:right w:w="75" w:type="dxa"/>
            </w:tcMar>
          </w:tcPr>
          <w:p w14:paraId="2DD69EC9" w14:textId="77777777" w:rsidR="00936CD2" w:rsidRPr="00105578" w:rsidRDefault="00936CD2" w:rsidP="00487B9C">
            <w:pPr>
              <w:rPr>
                <w:sz w:val="24"/>
                <w:szCs w:val="24"/>
              </w:rPr>
            </w:pPr>
            <w:r w:rsidRPr="00105578">
              <w:rPr>
                <w:sz w:val="24"/>
                <w:szCs w:val="24"/>
              </w:rPr>
              <w:t>Class 3 Obesity with BMI</w:t>
            </w:r>
            <w:r w:rsidRPr="00105578">
              <w:rPr>
                <w:sz w:val="24"/>
                <w:szCs w:val="24"/>
              </w:rPr>
              <w:br/>
              <w:t>above 40 kg/m2</w:t>
            </w:r>
            <w:r w:rsidRPr="00105578">
              <w:rPr>
                <w:sz w:val="24"/>
                <w:szCs w:val="24"/>
              </w:rPr>
              <w:br/>
              <w:t>*Note: to maintain</w:t>
            </w:r>
            <w:r w:rsidRPr="00105578">
              <w:rPr>
                <w:sz w:val="24"/>
                <w:szCs w:val="24"/>
              </w:rPr>
              <w:br/>
              <w:t>confidentiality, BMI values</w:t>
            </w:r>
            <w:r w:rsidRPr="00105578">
              <w:rPr>
                <w:sz w:val="24"/>
                <w:szCs w:val="24"/>
              </w:rPr>
              <w:br/>
              <w:t>above 50 are truncated to 50</w:t>
            </w:r>
            <w:r w:rsidRPr="00105578">
              <w:rPr>
                <w:sz w:val="24"/>
                <w:szCs w:val="24"/>
              </w:rPr>
              <w:br/>
              <w:t>kg/m2</w:t>
            </w:r>
          </w:p>
        </w:tc>
        <w:tc>
          <w:tcPr>
            <w:tcW w:w="1250" w:type="pct"/>
            <w:tcMar>
              <w:top w:w="45" w:type="dxa"/>
              <w:left w:w="75" w:type="dxa"/>
              <w:bottom w:w="45" w:type="dxa"/>
              <w:right w:w="75" w:type="dxa"/>
            </w:tcMar>
          </w:tcPr>
          <w:p w14:paraId="1D96545F" w14:textId="77777777" w:rsidR="00936CD2" w:rsidRPr="00105578" w:rsidRDefault="00936CD2" w:rsidP="00487B9C">
            <w:pPr>
              <w:rPr>
                <w:sz w:val="24"/>
                <w:szCs w:val="24"/>
              </w:rPr>
            </w:pPr>
            <w:r w:rsidRPr="00105578">
              <w:rPr>
                <w:sz w:val="24"/>
                <w:szCs w:val="24"/>
              </w:rPr>
              <w:t>ICD-10: E66.01</w:t>
            </w:r>
          </w:p>
        </w:tc>
        <w:tc>
          <w:tcPr>
            <w:tcW w:w="2138" w:type="pct"/>
            <w:tcMar>
              <w:top w:w="45" w:type="dxa"/>
              <w:left w:w="75" w:type="dxa"/>
              <w:bottom w:w="45" w:type="dxa"/>
              <w:right w:w="75" w:type="dxa"/>
            </w:tcMar>
          </w:tcPr>
          <w:p w14:paraId="2B2F81B3" w14:textId="77777777" w:rsidR="00936CD2" w:rsidRPr="00105578" w:rsidRDefault="00936CD2" w:rsidP="00487B9C">
            <w:pPr>
              <w:rPr>
                <w:sz w:val="24"/>
                <w:szCs w:val="24"/>
              </w:rPr>
            </w:pPr>
            <w:r w:rsidRPr="00105578">
              <w:rPr>
                <w:sz w:val="24"/>
                <w:szCs w:val="24"/>
              </w:rPr>
              <w:t>Morbid Obesity due to excess calories</w:t>
            </w:r>
          </w:p>
        </w:tc>
      </w:tr>
      <w:tr w:rsidR="00105578" w:rsidRPr="00936CD2" w14:paraId="0587F61C" w14:textId="77777777" w:rsidTr="00105578">
        <w:tc>
          <w:tcPr>
            <w:tcW w:w="1612" w:type="pct"/>
            <w:vMerge/>
            <w:tcMar>
              <w:top w:w="45" w:type="dxa"/>
              <w:left w:w="75" w:type="dxa"/>
              <w:bottom w:w="45" w:type="dxa"/>
              <w:right w:w="75" w:type="dxa"/>
            </w:tcMar>
          </w:tcPr>
          <w:p w14:paraId="15D11983"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11CC7CA7" w14:textId="77777777" w:rsidR="00936CD2" w:rsidRPr="00105578" w:rsidRDefault="00936CD2" w:rsidP="00487B9C">
            <w:pPr>
              <w:rPr>
                <w:sz w:val="24"/>
                <w:szCs w:val="24"/>
              </w:rPr>
            </w:pPr>
            <w:r w:rsidRPr="00105578">
              <w:rPr>
                <w:sz w:val="24"/>
                <w:szCs w:val="24"/>
              </w:rPr>
              <w:t>ICD-10: Z68.41</w:t>
            </w:r>
          </w:p>
        </w:tc>
        <w:tc>
          <w:tcPr>
            <w:tcW w:w="2138" w:type="pct"/>
            <w:tcMar>
              <w:top w:w="45" w:type="dxa"/>
              <w:left w:w="75" w:type="dxa"/>
              <w:bottom w:w="45" w:type="dxa"/>
              <w:right w:w="75" w:type="dxa"/>
            </w:tcMar>
          </w:tcPr>
          <w:p w14:paraId="6CD6BFC6" w14:textId="77777777" w:rsidR="00936CD2" w:rsidRPr="00105578" w:rsidRDefault="00936CD2" w:rsidP="00487B9C">
            <w:pPr>
              <w:rPr>
                <w:sz w:val="24"/>
                <w:szCs w:val="24"/>
              </w:rPr>
            </w:pPr>
            <w:r w:rsidRPr="00105578">
              <w:rPr>
                <w:sz w:val="24"/>
                <w:szCs w:val="24"/>
              </w:rPr>
              <w:t>BMI 40.0-44.9 diagnosis code</w:t>
            </w:r>
          </w:p>
        </w:tc>
      </w:tr>
      <w:tr w:rsidR="00105578" w:rsidRPr="00936CD2" w14:paraId="6532AA69" w14:textId="77777777" w:rsidTr="00105578">
        <w:tc>
          <w:tcPr>
            <w:tcW w:w="1612" w:type="pct"/>
            <w:vMerge/>
            <w:tcMar>
              <w:top w:w="45" w:type="dxa"/>
              <w:left w:w="75" w:type="dxa"/>
              <w:bottom w:w="45" w:type="dxa"/>
              <w:right w:w="75" w:type="dxa"/>
            </w:tcMar>
          </w:tcPr>
          <w:p w14:paraId="4BF9484B"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355740F6" w14:textId="77777777" w:rsidR="00936CD2" w:rsidRPr="00105578" w:rsidRDefault="00936CD2" w:rsidP="00487B9C">
            <w:pPr>
              <w:rPr>
                <w:sz w:val="24"/>
                <w:szCs w:val="24"/>
              </w:rPr>
            </w:pPr>
            <w:r w:rsidRPr="00105578">
              <w:rPr>
                <w:sz w:val="24"/>
                <w:szCs w:val="24"/>
              </w:rPr>
              <w:t>ICD-10: Z68.42</w:t>
            </w:r>
          </w:p>
        </w:tc>
        <w:tc>
          <w:tcPr>
            <w:tcW w:w="2138" w:type="pct"/>
            <w:tcMar>
              <w:top w:w="45" w:type="dxa"/>
              <w:left w:w="75" w:type="dxa"/>
              <w:bottom w:w="45" w:type="dxa"/>
              <w:right w:w="75" w:type="dxa"/>
            </w:tcMar>
          </w:tcPr>
          <w:p w14:paraId="6F63DD6E" w14:textId="77777777" w:rsidR="00936CD2" w:rsidRPr="00105578" w:rsidRDefault="00936CD2" w:rsidP="00487B9C">
            <w:pPr>
              <w:rPr>
                <w:sz w:val="24"/>
                <w:szCs w:val="24"/>
              </w:rPr>
            </w:pPr>
            <w:r w:rsidRPr="00105578">
              <w:rPr>
                <w:sz w:val="24"/>
                <w:szCs w:val="24"/>
              </w:rPr>
              <w:t>BMI 45-49.9 diagnosis code</w:t>
            </w:r>
          </w:p>
        </w:tc>
      </w:tr>
      <w:tr w:rsidR="00105578" w:rsidRPr="00936CD2" w14:paraId="180ED542" w14:textId="77777777" w:rsidTr="00105578">
        <w:tc>
          <w:tcPr>
            <w:tcW w:w="1612" w:type="pct"/>
            <w:vMerge/>
            <w:tcMar>
              <w:top w:w="45" w:type="dxa"/>
              <w:left w:w="75" w:type="dxa"/>
              <w:bottom w:w="45" w:type="dxa"/>
              <w:right w:w="75" w:type="dxa"/>
            </w:tcMar>
          </w:tcPr>
          <w:p w14:paraId="63C07C19"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6A65B1E2" w14:textId="77777777" w:rsidR="00936CD2" w:rsidRPr="00105578" w:rsidRDefault="00936CD2" w:rsidP="00487B9C">
            <w:pPr>
              <w:rPr>
                <w:sz w:val="24"/>
                <w:szCs w:val="24"/>
              </w:rPr>
            </w:pPr>
            <w:r w:rsidRPr="00105578">
              <w:rPr>
                <w:sz w:val="24"/>
                <w:szCs w:val="24"/>
              </w:rPr>
              <w:t>LOINC: 39156-5</w:t>
            </w:r>
          </w:p>
        </w:tc>
        <w:tc>
          <w:tcPr>
            <w:tcW w:w="2138" w:type="pct"/>
            <w:tcMar>
              <w:top w:w="45" w:type="dxa"/>
              <w:left w:w="75" w:type="dxa"/>
              <w:bottom w:w="45" w:type="dxa"/>
              <w:right w:w="75" w:type="dxa"/>
            </w:tcMar>
          </w:tcPr>
          <w:p w14:paraId="5A660D08" w14:textId="77777777" w:rsidR="00936CD2" w:rsidRPr="00105578" w:rsidRDefault="00936CD2" w:rsidP="00487B9C">
            <w:pPr>
              <w:rPr>
                <w:sz w:val="24"/>
                <w:szCs w:val="24"/>
              </w:rPr>
            </w:pPr>
            <w:r w:rsidRPr="00105578">
              <w:rPr>
                <w:sz w:val="24"/>
                <w:szCs w:val="24"/>
              </w:rPr>
              <w:t>Body Mass Index greater than or equal</w:t>
            </w:r>
            <w:r w:rsidRPr="00105578">
              <w:rPr>
                <w:sz w:val="24"/>
                <w:szCs w:val="24"/>
              </w:rPr>
              <w:br/>
              <w:t>to 40</w:t>
            </w:r>
          </w:p>
        </w:tc>
      </w:tr>
      <w:tr w:rsidR="00105578" w:rsidRPr="00936CD2" w14:paraId="1161BE04" w14:textId="77777777" w:rsidTr="00105578">
        <w:tc>
          <w:tcPr>
            <w:tcW w:w="1612" w:type="pct"/>
            <w:vMerge w:val="restart"/>
            <w:tcMar>
              <w:top w:w="45" w:type="dxa"/>
              <w:left w:w="75" w:type="dxa"/>
              <w:bottom w:w="45" w:type="dxa"/>
              <w:right w:w="75" w:type="dxa"/>
            </w:tcMar>
          </w:tcPr>
          <w:p w14:paraId="0C18074B" w14:textId="77777777" w:rsidR="00936CD2" w:rsidRPr="00105578" w:rsidRDefault="00936CD2" w:rsidP="00487B9C">
            <w:pPr>
              <w:rPr>
                <w:sz w:val="24"/>
                <w:szCs w:val="24"/>
              </w:rPr>
            </w:pPr>
            <w:r w:rsidRPr="00105578">
              <w:rPr>
                <w:sz w:val="24"/>
                <w:szCs w:val="24"/>
              </w:rPr>
              <w:t>Any diagnosis code for</w:t>
            </w:r>
            <w:r w:rsidRPr="00105578">
              <w:rPr>
                <w:sz w:val="24"/>
                <w:szCs w:val="24"/>
              </w:rPr>
              <w:br/>
              <w:t>respiratory failure (including</w:t>
            </w:r>
            <w:r w:rsidRPr="00105578">
              <w:rPr>
                <w:sz w:val="24"/>
                <w:szCs w:val="24"/>
              </w:rPr>
              <w:br/>
              <w:t>hypoxemic or unspecified)</w:t>
            </w:r>
          </w:p>
        </w:tc>
        <w:tc>
          <w:tcPr>
            <w:tcW w:w="1250" w:type="pct"/>
            <w:tcMar>
              <w:top w:w="45" w:type="dxa"/>
              <w:left w:w="75" w:type="dxa"/>
              <w:bottom w:w="45" w:type="dxa"/>
              <w:right w:w="75" w:type="dxa"/>
            </w:tcMar>
          </w:tcPr>
          <w:p w14:paraId="10DC7236" w14:textId="77777777" w:rsidR="00936CD2" w:rsidRPr="00105578" w:rsidRDefault="00936CD2" w:rsidP="00487B9C">
            <w:pPr>
              <w:rPr>
                <w:sz w:val="24"/>
                <w:szCs w:val="24"/>
              </w:rPr>
            </w:pPr>
            <w:r w:rsidRPr="00105578">
              <w:rPr>
                <w:sz w:val="24"/>
                <w:szCs w:val="24"/>
              </w:rPr>
              <w:t>ICD-10: J96.*</w:t>
            </w:r>
          </w:p>
        </w:tc>
        <w:tc>
          <w:tcPr>
            <w:tcW w:w="2138" w:type="pct"/>
            <w:tcMar>
              <w:top w:w="45" w:type="dxa"/>
              <w:left w:w="75" w:type="dxa"/>
              <w:bottom w:w="45" w:type="dxa"/>
              <w:right w:w="75" w:type="dxa"/>
            </w:tcMar>
          </w:tcPr>
          <w:p w14:paraId="74162A4D" w14:textId="77777777" w:rsidR="00936CD2" w:rsidRPr="00105578" w:rsidRDefault="00936CD2" w:rsidP="00487B9C">
            <w:pPr>
              <w:rPr>
                <w:sz w:val="24"/>
                <w:szCs w:val="24"/>
              </w:rPr>
            </w:pPr>
            <w:r w:rsidRPr="00105578">
              <w:rPr>
                <w:sz w:val="24"/>
                <w:szCs w:val="24"/>
              </w:rPr>
              <w:t>Respiratory Failure of any subtype</w:t>
            </w:r>
          </w:p>
        </w:tc>
      </w:tr>
      <w:tr w:rsidR="00105578" w:rsidRPr="00936CD2" w14:paraId="19B319C6" w14:textId="77777777" w:rsidTr="00105578">
        <w:tc>
          <w:tcPr>
            <w:tcW w:w="1612" w:type="pct"/>
            <w:vMerge/>
            <w:tcMar>
              <w:top w:w="45" w:type="dxa"/>
              <w:left w:w="75" w:type="dxa"/>
              <w:bottom w:w="45" w:type="dxa"/>
              <w:right w:w="75" w:type="dxa"/>
            </w:tcMar>
          </w:tcPr>
          <w:p w14:paraId="6DC36476"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7BF1E7DE" w14:textId="77777777" w:rsidR="00936CD2" w:rsidRPr="00105578" w:rsidRDefault="00936CD2" w:rsidP="00487B9C">
            <w:pPr>
              <w:rPr>
                <w:sz w:val="24"/>
                <w:szCs w:val="24"/>
              </w:rPr>
            </w:pPr>
            <w:r w:rsidRPr="00105578">
              <w:rPr>
                <w:sz w:val="24"/>
                <w:szCs w:val="24"/>
              </w:rPr>
              <w:t>ICD-10: E66.2</w:t>
            </w:r>
          </w:p>
        </w:tc>
        <w:tc>
          <w:tcPr>
            <w:tcW w:w="2138" w:type="pct"/>
            <w:tcMar>
              <w:top w:w="45" w:type="dxa"/>
              <w:left w:w="75" w:type="dxa"/>
              <w:bottom w:w="45" w:type="dxa"/>
              <w:right w:w="75" w:type="dxa"/>
            </w:tcMar>
          </w:tcPr>
          <w:p w14:paraId="0A592A29" w14:textId="77777777" w:rsidR="00936CD2" w:rsidRPr="00105578" w:rsidRDefault="00936CD2" w:rsidP="00487B9C">
            <w:pPr>
              <w:rPr>
                <w:sz w:val="24"/>
                <w:szCs w:val="24"/>
              </w:rPr>
            </w:pPr>
            <w:r w:rsidRPr="00105578">
              <w:rPr>
                <w:sz w:val="24"/>
                <w:szCs w:val="24"/>
              </w:rPr>
              <w:t>Morbid obesity with alveolar</w:t>
            </w:r>
            <w:r w:rsidRPr="00105578">
              <w:rPr>
                <w:sz w:val="24"/>
                <w:szCs w:val="24"/>
              </w:rPr>
              <w:br/>
              <w:t>hypoventilation</w:t>
            </w:r>
          </w:p>
        </w:tc>
      </w:tr>
      <w:tr w:rsidR="00105578" w:rsidRPr="00936CD2" w14:paraId="5982544E" w14:textId="77777777" w:rsidTr="00105578">
        <w:tc>
          <w:tcPr>
            <w:tcW w:w="1612" w:type="pct"/>
            <w:vMerge w:val="restart"/>
            <w:tcMar>
              <w:top w:w="45" w:type="dxa"/>
              <w:left w:w="75" w:type="dxa"/>
              <w:bottom w:w="45" w:type="dxa"/>
              <w:right w:w="75" w:type="dxa"/>
            </w:tcMar>
          </w:tcPr>
          <w:p w14:paraId="06F08139" w14:textId="77777777" w:rsidR="00936CD2" w:rsidRPr="00105578" w:rsidRDefault="00936CD2" w:rsidP="00487B9C">
            <w:pPr>
              <w:rPr>
                <w:sz w:val="24"/>
                <w:szCs w:val="24"/>
              </w:rPr>
            </w:pPr>
            <w:r w:rsidRPr="00105578">
              <w:rPr>
                <w:sz w:val="24"/>
                <w:szCs w:val="24"/>
              </w:rPr>
              <w:t>A procedure code for</w:t>
            </w:r>
            <w:r w:rsidRPr="00105578">
              <w:rPr>
                <w:sz w:val="24"/>
                <w:szCs w:val="24"/>
              </w:rPr>
              <w:br/>
              <w:t>invasive mechanical</w:t>
            </w:r>
            <w:r w:rsidRPr="00105578">
              <w:rPr>
                <w:sz w:val="24"/>
                <w:szCs w:val="24"/>
              </w:rPr>
              <w:br/>
              <w:t>ventilation or non-invasive</w:t>
            </w:r>
            <w:r w:rsidRPr="00105578">
              <w:rPr>
                <w:sz w:val="24"/>
                <w:szCs w:val="24"/>
              </w:rPr>
              <w:br/>
              <w:t>mechanical ventilation</w:t>
            </w:r>
            <w:r w:rsidRPr="00105578">
              <w:rPr>
                <w:sz w:val="24"/>
                <w:szCs w:val="24"/>
              </w:rPr>
              <w:br/>
              <w:t>(including CPAP)</w:t>
            </w:r>
          </w:p>
        </w:tc>
        <w:tc>
          <w:tcPr>
            <w:tcW w:w="1250" w:type="pct"/>
            <w:tcMar>
              <w:top w:w="45" w:type="dxa"/>
              <w:left w:w="75" w:type="dxa"/>
              <w:bottom w:w="45" w:type="dxa"/>
              <w:right w:w="75" w:type="dxa"/>
            </w:tcMar>
          </w:tcPr>
          <w:p w14:paraId="539A1556" w14:textId="77777777" w:rsidR="00936CD2" w:rsidRPr="00105578" w:rsidRDefault="00936CD2" w:rsidP="00487B9C">
            <w:pPr>
              <w:rPr>
                <w:sz w:val="24"/>
                <w:szCs w:val="24"/>
              </w:rPr>
            </w:pPr>
            <w:r w:rsidRPr="00105578">
              <w:rPr>
                <w:sz w:val="24"/>
                <w:szCs w:val="24"/>
              </w:rPr>
              <w:t>ICD-PCS: 5A09459,</w:t>
            </w:r>
            <w:r w:rsidRPr="00105578">
              <w:rPr>
                <w:sz w:val="24"/>
                <w:szCs w:val="24"/>
              </w:rPr>
              <w:br/>
              <w:t>ICD-PCS: 5A0945B,</w:t>
            </w:r>
            <w:r w:rsidRPr="00105578">
              <w:rPr>
                <w:sz w:val="24"/>
                <w:szCs w:val="24"/>
              </w:rPr>
              <w:br/>
              <w:t>ICD-PCS: 5A09559,</w:t>
            </w:r>
            <w:r w:rsidRPr="00105578">
              <w:rPr>
                <w:sz w:val="24"/>
                <w:szCs w:val="24"/>
              </w:rPr>
              <w:br/>
              <w:t>ICD-PCS: 5A0955B</w:t>
            </w:r>
          </w:p>
        </w:tc>
        <w:tc>
          <w:tcPr>
            <w:tcW w:w="2138" w:type="pct"/>
            <w:tcMar>
              <w:top w:w="45" w:type="dxa"/>
              <w:left w:w="75" w:type="dxa"/>
              <w:bottom w:w="45" w:type="dxa"/>
              <w:right w:w="75" w:type="dxa"/>
            </w:tcMar>
          </w:tcPr>
          <w:p w14:paraId="593175D5" w14:textId="77777777" w:rsidR="00936CD2" w:rsidRPr="00105578" w:rsidRDefault="00936CD2" w:rsidP="00487B9C">
            <w:pPr>
              <w:rPr>
                <w:sz w:val="24"/>
                <w:szCs w:val="24"/>
              </w:rPr>
            </w:pPr>
            <w:r w:rsidRPr="00105578">
              <w:rPr>
                <w:sz w:val="24"/>
                <w:szCs w:val="24"/>
              </w:rPr>
              <w:t>Assistance with respiratory ventilation</w:t>
            </w:r>
            <w:r w:rsidRPr="00105578">
              <w:rPr>
                <w:sz w:val="24"/>
                <w:szCs w:val="24"/>
              </w:rPr>
              <w:br/>
              <w:t>(negative airway pressure, intermittent</w:t>
            </w:r>
            <w:r w:rsidRPr="00105578">
              <w:rPr>
                <w:sz w:val="24"/>
                <w:szCs w:val="24"/>
              </w:rPr>
              <w:br/>
              <w:t>negative airway pressure, continuous</w:t>
            </w:r>
            <w:r w:rsidRPr="00105578">
              <w:rPr>
                <w:sz w:val="24"/>
                <w:szCs w:val="24"/>
              </w:rPr>
              <w:br/>
              <w:t>negative airway pressure, and</w:t>
            </w:r>
            <w:r w:rsidRPr="00105578">
              <w:rPr>
                <w:sz w:val="24"/>
                <w:szCs w:val="24"/>
              </w:rPr>
              <w:br/>
              <w:t>continuous negative airway pressure)</w:t>
            </w:r>
          </w:p>
        </w:tc>
      </w:tr>
      <w:tr w:rsidR="00105578" w:rsidRPr="00936CD2" w14:paraId="1F1133A9" w14:textId="77777777" w:rsidTr="00105578">
        <w:tc>
          <w:tcPr>
            <w:tcW w:w="1612" w:type="pct"/>
            <w:vMerge/>
            <w:tcMar>
              <w:top w:w="45" w:type="dxa"/>
              <w:left w:w="75" w:type="dxa"/>
              <w:bottom w:w="45" w:type="dxa"/>
              <w:right w:w="75" w:type="dxa"/>
            </w:tcMar>
          </w:tcPr>
          <w:p w14:paraId="77E90BB3"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4272CA4A" w14:textId="77777777" w:rsidR="00936CD2" w:rsidRPr="00105578" w:rsidRDefault="00936CD2" w:rsidP="00487B9C">
            <w:pPr>
              <w:rPr>
                <w:sz w:val="24"/>
                <w:szCs w:val="24"/>
              </w:rPr>
            </w:pPr>
            <w:r w:rsidRPr="00105578">
              <w:rPr>
                <w:sz w:val="24"/>
                <w:szCs w:val="24"/>
              </w:rPr>
              <w:t>ICD-PCS: 5A09358,</w:t>
            </w:r>
            <w:r w:rsidRPr="00105578">
              <w:rPr>
                <w:sz w:val="24"/>
                <w:szCs w:val="24"/>
              </w:rPr>
              <w:br/>
              <w:t>ICD-PCS: 5A09458,</w:t>
            </w:r>
            <w:r w:rsidRPr="00105578">
              <w:rPr>
                <w:sz w:val="24"/>
                <w:szCs w:val="24"/>
              </w:rPr>
              <w:br/>
              <w:t>ICD-PCS: 5A09558</w:t>
            </w:r>
          </w:p>
        </w:tc>
        <w:tc>
          <w:tcPr>
            <w:tcW w:w="2138" w:type="pct"/>
            <w:tcMar>
              <w:top w:w="45" w:type="dxa"/>
              <w:left w:w="75" w:type="dxa"/>
              <w:bottom w:w="45" w:type="dxa"/>
              <w:right w:w="75" w:type="dxa"/>
            </w:tcMar>
          </w:tcPr>
          <w:p w14:paraId="48C740E4" w14:textId="77777777" w:rsidR="00936CD2" w:rsidRPr="00105578" w:rsidRDefault="00936CD2" w:rsidP="00487B9C">
            <w:pPr>
              <w:rPr>
                <w:sz w:val="24"/>
                <w:szCs w:val="24"/>
              </w:rPr>
            </w:pPr>
            <w:r w:rsidRPr="00105578">
              <w:rPr>
                <w:sz w:val="24"/>
                <w:szCs w:val="24"/>
              </w:rPr>
              <w:t>Intermittent CPAP (24, 24-96, 96+</w:t>
            </w:r>
            <w:r w:rsidRPr="00105578">
              <w:rPr>
                <w:sz w:val="24"/>
                <w:szCs w:val="24"/>
              </w:rPr>
              <w:br/>
              <w:t>hours)</w:t>
            </w:r>
          </w:p>
        </w:tc>
      </w:tr>
      <w:tr w:rsidR="00105578" w:rsidRPr="00936CD2" w14:paraId="024F328C" w14:textId="77777777" w:rsidTr="00105578">
        <w:tc>
          <w:tcPr>
            <w:tcW w:w="1612" w:type="pct"/>
            <w:vMerge/>
            <w:tcMar>
              <w:top w:w="45" w:type="dxa"/>
              <w:left w:w="75" w:type="dxa"/>
              <w:bottom w:w="45" w:type="dxa"/>
              <w:right w:w="75" w:type="dxa"/>
            </w:tcMar>
          </w:tcPr>
          <w:p w14:paraId="71F7A326"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443AD0F5" w14:textId="77777777" w:rsidR="00936CD2" w:rsidRPr="00105578" w:rsidRDefault="00936CD2" w:rsidP="00487B9C">
            <w:pPr>
              <w:rPr>
                <w:sz w:val="24"/>
                <w:szCs w:val="24"/>
              </w:rPr>
            </w:pPr>
            <w:r w:rsidRPr="00105578">
              <w:rPr>
                <w:sz w:val="24"/>
                <w:szCs w:val="24"/>
              </w:rPr>
              <w:t>ICD-PCS: 5A0935Z,</w:t>
            </w:r>
            <w:r w:rsidRPr="00105578">
              <w:rPr>
                <w:sz w:val="24"/>
                <w:szCs w:val="24"/>
              </w:rPr>
              <w:br/>
              <w:t>ICD-PCS: 5A0945Z,</w:t>
            </w:r>
            <w:r w:rsidRPr="00105578">
              <w:rPr>
                <w:sz w:val="24"/>
                <w:szCs w:val="24"/>
              </w:rPr>
              <w:br/>
              <w:t>ICD-PCS: 5A0955Z</w:t>
            </w:r>
          </w:p>
        </w:tc>
        <w:tc>
          <w:tcPr>
            <w:tcW w:w="2138" w:type="pct"/>
            <w:tcMar>
              <w:top w:w="45" w:type="dxa"/>
              <w:left w:w="75" w:type="dxa"/>
              <w:bottom w:w="45" w:type="dxa"/>
              <w:right w:w="75" w:type="dxa"/>
            </w:tcMar>
          </w:tcPr>
          <w:p w14:paraId="1F6F0CEA" w14:textId="77777777" w:rsidR="00936CD2" w:rsidRPr="00105578" w:rsidRDefault="00936CD2" w:rsidP="00487B9C">
            <w:pPr>
              <w:rPr>
                <w:sz w:val="24"/>
                <w:szCs w:val="24"/>
              </w:rPr>
            </w:pPr>
            <w:r w:rsidRPr="00105578">
              <w:rPr>
                <w:sz w:val="24"/>
                <w:szCs w:val="24"/>
              </w:rPr>
              <w:t>Assistance with respiratory ventilation</w:t>
            </w:r>
            <w:r w:rsidRPr="00105578">
              <w:rPr>
                <w:sz w:val="24"/>
                <w:szCs w:val="24"/>
              </w:rPr>
              <w:br/>
              <w:t>(24, 24-96, 96+ hours)</w:t>
            </w:r>
          </w:p>
        </w:tc>
      </w:tr>
      <w:tr w:rsidR="00105578" w:rsidRPr="00936CD2" w14:paraId="075CF029" w14:textId="77777777" w:rsidTr="00105578">
        <w:tc>
          <w:tcPr>
            <w:tcW w:w="1612" w:type="pct"/>
            <w:vMerge/>
            <w:tcMar>
              <w:top w:w="45" w:type="dxa"/>
              <w:left w:w="75" w:type="dxa"/>
              <w:bottom w:w="45" w:type="dxa"/>
              <w:right w:w="75" w:type="dxa"/>
            </w:tcMar>
          </w:tcPr>
          <w:p w14:paraId="3352C78D"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09BE49E4" w14:textId="77777777" w:rsidR="00936CD2" w:rsidRPr="00105578" w:rsidRDefault="00936CD2" w:rsidP="00487B9C">
            <w:pPr>
              <w:rPr>
                <w:sz w:val="24"/>
                <w:szCs w:val="24"/>
              </w:rPr>
            </w:pPr>
            <w:r w:rsidRPr="00105578">
              <w:rPr>
                <w:sz w:val="24"/>
                <w:szCs w:val="24"/>
              </w:rPr>
              <w:t>ICD-PCS: 5A1945Z,</w:t>
            </w:r>
            <w:r w:rsidRPr="00105578">
              <w:rPr>
                <w:sz w:val="24"/>
                <w:szCs w:val="24"/>
              </w:rPr>
              <w:br/>
              <w:t>ICD-PCS: 5A1935Z,</w:t>
            </w:r>
            <w:r w:rsidRPr="00105578">
              <w:rPr>
                <w:sz w:val="24"/>
                <w:szCs w:val="24"/>
              </w:rPr>
              <w:br/>
              <w:t>ICD-PCS: 5A1945Z,</w:t>
            </w:r>
            <w:r w:rsidRPr="00105578">
              <w:rPr>
                <w:sz w:val="24"/>
                <w:szCs w:val="24"/>
              </w:rPr>
              <w:br/>
              <w:t>ICD-PCS: 5A1955Z</w:t>
            </w:r>
          </w:p>
        </w:tc>
        <w:tc>
          <w:tcPr>
            <w:tcW w:w="2138" w:type="pct"/>
            <w:tcMar>
              <w:top w:w="45" w:type="dxa"/>
              <w:left w:w="75" w:type="dxa"/>
              <w:bottom w:w="45" w:type="dxa"/>
              <w:right w:w="75" w:type="dxa"/>
            </w:tcMar>
          </w:tcPr>
          <w:p w14:paraId="642555E4" w14:textId="77777777" w:rsidR="00936CD2" w:rsidRPr="00105578" w:rsidRDefault="00936CD2" w:rsidP="00487B9C">
            <w:pPr>
              <w:rPr>
                <w:sz w:val="24"/>
                <w:szCs w:val="24"/>
              </w:rPr>
            </w:pPr>
            <w:r w:rsidRPr="00105578">
              <w:rPr>
                <w:sz w:val="24"/>
                <w:szCs w:val="24"/>
              </w:rPr>
              <w:t>Respiratory Ventilation (unspecified,</w:t>
            </w:r>
            <w:r w:rsidRPr="00105578">
              <w:rPr>
                <w:sz w:val="24"/>
                <w:szCs w:val="24"/>
              </w:rPr>
              <w:br/>
              <w:t>24, 24-96, 96+ hours)</w:t>
            </w:r>
          </w:p>
        </w:tc>
      </w:tr>
      <w:tr w:rsidR="00105578" w:rsidRPr="00936CD2" w14:paraId="366963F7" w14:textId="77777777" w:rsidTr="00105578">
        <w:tc>
          <w:tcPr>
            <w:tcW w:w="1612" w:type="pct"/>
            <w:vMerge/>
            <w:tcMar>
              <w:top w:w="45" w:type="dxa"/>
              <w:left w:w="75" w:type="dxa"/>
              <w:bottom w:w="45" w:type="dxa"/>
              <w:right w:w="75" w:type="dxa"/>
            </w:tcMar>
          </w:tcPr>
          <w:p w14:paraId="137610B1" w14:textId="77777777" w:rsidR="00936CD2" w:rsidRPr="00105578" w:rsidRDefault="00936CD2" w:rsidP="00487B9C">
            <w:pPr>
              <w:rPr>
                <w:sz w:val="24"/>
                <w:szCs w:val="24"/>
              </w:rPr>
            </w:pPr>
          </w:p>
        </w:tc>
        <w:tc>
          <w:tcPr>
            <w:tcW w:w="1250" w:type="pct"/>
            <w:tcMar>
              <w:top w:w="45" w:type="dxa"/>
              <w:left w:w="75" w:type="dxa"/>
              <w:bottom w:w="45" w:type="dxa"/>
              <w:right w:w="75" w:type="dxa"/>
            </w:tcMar>
          </w:tcPr>
          <w:p w14:paraId="336B07D4" w14:textId="77777777" w:rsidR="00936CD2" w:rsidRPr="00105578" w:rsidRDefault="00936CD2" w:rsidP="00487B9C">
            <w:pPr>
              <w:rPr>
                <w:sz w:val="24"/>
                <w:szCs w:val="24"/>
              </w:rPr>
            </w:pPr>
            <w:r w:rsidRPr="00105578">
              <w:rPr>
                <w:sz w:val="24"/>
                <w:szCs w:val="24"/>
              </w:rPr>
              <w:t>CPT: 101509</w:t>
            </w:r>
            <w:r w:rsidRPr="00105578">
              <w:rPr>
                <w:sz w:val="24"/>
                <w:szCs w:val="24"/>
              </w:rPr>
              <w:br/>
              <w:t>CPT: 1014859,</w:t>
            </w:r>
            <w:r w:rsidRPr="00105578">
              <w:rPr>
                <w:sz w:val="24"/>
                <w:szCs w:val="24"/>
              </w:rPr>
              <w:br/>
              <w:t>CPT: 94002,</w:t>
            </w:r>
            <w:r w:rsidRPr="00105578">
              <w:rPr>
                <w:sz w:val="24"/>
                <w:szCs w:val="24"/>
              </w:rPr>
              <w:br/>
              <w:t>CPT: 94003,</w:t>
            </w:r>
            <w:r w:rsidRPr="00105578">
              <w:rPr>
                <w:sz w:val="24"/>
                <w:szCs w:val="24"/>
              </w:rPr>
              <w:br/>
              <w:t>CPT 94660</w:t>
            </w:r>
          </w:p>
        </w:tc>
        <w:tc>
          <w:tcPr>
            <w:tcW w:w="2138" w:type="pct"/>
            <w:tcMar>
              <w:top w:w="45" w:type="dxa"/>
              <w:left w:w="75" w:type="dxa"/>
              <w:bottom w:w="45" w:type="dxa"/>
              <w:right w:w="75" w:type="dxa"/>
            </w:tcMar>
          </w:tcPr>
          <w:p w14:paraId="2C182C54" w14:textId="77777777" w:rsidR="00936CD2" w:rsidRPr="00105578" w:rsidRDefault="00936CD2" w:rsidP="00487B9C">
            <w:pPr>
              <w:rPr>
                <w:sz w:val="24"/>
                <w:szCs w:val="24"/>
              </w:rPr>
            </w:pPr>
            <w:r w:rsidRPr="00105578">
              <w:rPr>
                <w:sz w:val="24"/>
                <w:szCs w:val="24"/>
              </w:rPr>
              <w:t>Vent Management</w:t>
            </w:r>
          </w:p>
        </w:tc>
      </w:tr>
    </w:tbl>
    <w:p w14:paraId="042CBF38" w14:textId="77777777" w:rsidR="00936CD2" w:rsidRDefault="00936CD2" w:rsidP="00936CD2"/>
    <w:p w14:paraId="3417C709" w14:textId="5B0C5D00" w:rsidR="002408FC" w:rsidRDefault="002408FC" w:rsidP="002408FC">
      <w:pPr>
        <w:pStyle w:val="Subtitle"/>
        <w:rPr>
          <w:bCs/>
        </w:rPr>
      </w:pPr>
      <w:r w:rsidRPr="002408FC">
        <w:t>Supplementary Table 2</w:t>
      </w:r>
      <w:r>
        <w:t xml:space="preserve">: </w:t>
      </w:r>
      <w:r w:rsidRPr="002408FC">
        <w:rPr>
          <w:bCs/>
        </w:rPr>
        <w:t>Crude associations of pCO₂ category with clinical outcomes by ABG and VBG</w:t>
      </w:r>
    </w:p>
    <w:p w14:paraId="000BF43D" w14:textId="24E65A02" w:rsidR="002408FC" w:rsidRPr="002408FC" w:rsidRDefault="002408FC" w:rsidP="00105578">
      <w:pPr>
        <w:rPr>
          <w:bCs/>
        </w:rPr>
      </w:pPr>
      <w:r w:rsidRPr="002408FC">
        <w:t xml:space="preserve">Report crude odds ratios and 95% CIs for </w:t>
      </w:r>
      <w:r w:rsidRPr="002408FC">
        <w:rPr>
          <w:b/>
          <w:bCs/>
        </w:rPr>
        <w:t>low vs normal</w:t>
      </w:r>
      <w:r w:rsidRPr="002408FC">
        <w:t xml:space="preserve"> and </w:t>
      </w:r>
      <w:r w:rsidRPr="002408FC">
        <w:rPr>
          <w:b/>
          <w:bCs/>
        </w:rPr>
        <w:t>high vs normal</w:t>
      </w:r>
      <w:r w:rsidRPr="002408FC">
        <w:t xml:space="preserve"> pCO₂, shown separately for ABG and VBG across:</w:t>
      </w:r>
    </w:p>
    <w:p w14:paraId="65A58812" w14:textId="77777777" w:rsidR="002408FC" w:rsidRPr="002408FC" w:rsidRDefault="002408FC" w:rsidP="00105578">
      <w:r w:rsidRPr="002408FC">
        <w:t xml:space="preserve">hypercapnic respiratory failure diagnosis </w:t>
      </w:r>
    </w:p>
    <w:p w14:paraId="1A62186C" w14:textId="77777777" w:rsidR="002408FC" w:rsidRPr="002408FC" w:rsidRDefault="002408FC" w:rsidP="00105578">
      <w:r w:rsidRPr="002408FC">
        <w:t xml:space="preserve">non-invasive ventilation </w:t>
      </w:r>
    </w:p>
    <w:p w14:paraId="404FAE57" w14:textId="77777777" w:rsidR="002408FC" w:rsidRPr="002408FC" w:rsidRDefault="002408FC" w:rsidP="00105578">
      <w:r w:rsidRPr="002408FC">
        <w:t xml:space="preserve">invasive mechanical ventilation </w:t>
      </w:r>
    </w:p>
    <w:p w14:paraId="4BE027E8" w14:textId="77777777" w:rsidR="002408FC" w:rsidRPr="002408FC" w:rsidRDefault="002408FC" w:rsidP="00105578">
      <w:r w:rsidRPr="002408FC">
        <w:t xml:space="preserve">60-day mortality </w:t>
      </w:r>
    </w:p>
    <w:p w14:paraId="7167C320" w14:textId="77777777" w:rsidR="002408FC" w:rsidRPr="002408FC" w:rsidRDefault="002408FC" w:rsidP="00105578">
      <w:r w:rsidRPr="002408FC">
        <w:t xml:space="preserve">This table is the natural companion to the first sentence of the </w:t>
      </w:r>
      <w:r w:rsidRPr="002408FC">
        <w:rPr>
          <w:b/>
          <w:bCs/>
        </w:rPr>
        <w:t>Secondary analyses</w:t>
      </w:r>
      <w:r w:rsidRPr="002408FC">
        <w:t xml:space="preserve"> paragraph.</w:t>
      </w:r>
    </w:p>
    <w:p w14:paraId="723EBB15" w14:textId="77777777" w:rsidR="00936CD2" w:rsidRPr="006746ED" w:rsidRDefault="00936CD2"/>
    <w:sectPr w:rsidR="00936CD2"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6-04-08T19:13:00Z" w:initials="BL">
    <w:p w14:paraId="7D26BAA3" w14:textId="50C5A5B3" w:rsidR="002C4D06" w:rsidRDefault="002C4D06" w:rsidP="002C4D06">
      <w:r>
        <w:rPr>
          <w:rStyle w:val="CommentReference"/>
        </w:rPr>
        <w:annotationRef/>
      </w:r>
      <w:r>
        <w:rPr>
          <w:sz w:val="20"/>
          <w:szCs w:val="20"/>
        </w:rPr>
        <w:t>I chopped and shortened this quite a bit so I just accepted the section rather than track changes through</w:t>
      </w:r>
    </w:p>
  </w:comment>
  <w:comment w:id="1" w:author="Brian Locke" w:date="2026-04-08T20:39:00Z" w:initials="BL">
    <w:p w14:paraId="29537397" w14:textId="77777777" w:rsidR="0013144F" w:rsidRDefault="0013144F" w:rsidP="0013144F">
      <w:r>
        <w:rPr>
          <w:rStyle w:val="CommentReference"/>
        </w:rPr>
        <w:annotationRef/>
      </w:r>
      <w:hyperlink r:id="rId1" w:history="1">
        <w:r w:rsidRPr="009B2BA9">
          <w:rPr>
            <w:rStyle w:val="Hyperlink"/>
            <w:sz w:val="20"/>
            <w:szCs w:val="20"/>
          </w:rPr>
          <w:t>https://pubmed.ncbi.nlm.nih.gov/33951397/</w:t>
        </w:r>
      </w:hyperlink>
    </w:p>
  </w:comment>
  <w:comment w:id="2" w:author="Brian Locke" w:date="2026-04-08T18:35:00Z" w:initials="BL">
    <w:p w14:paraId="6DF72313" w14:textId="1808B7ED" w:rsidR="0013144F" w:rsidRDefault="00BD1FE2" w:rsidP="0013144F">
      <w:r>
        <w:rPr>
          <w:rStyle w:val="CommentReference"/>
        </w:rPr>
        <w:annotationRef/>
      </w:r>
      <w:hyperlink r:id="rId2" w:history="1">
        <w:r w:rsidR="0013144F" w:rsidRPr="006A6289">
          <w:rPr>
            <w:rStyle w:val="Hyperlink"/>
            <w:sz w:val="20"/>
            <w:szCs w:val="20"/>
          </w:rPr>
          <w:t>https://bmjopenrespres.bmj.com/content/11/1/e002266</w:t>
        </w:r>
      </w:hyperlink>
    </w:p>
  </w:comment>
  <w:comment w:id="3" w:author="Brian Locke" w:date="2026-04-08T20:40:00Z" w:initials="BL">
    <w:p w14:paraId="4FE3898E" w14:textId="77777777" w:rsidR="0013144F" w:rsidRDefault="0013144F" w:rsidP="0013144F">
      <w:r>
        <w:rPr>
          <w:rStyle w:val="CommentReference"/>
        </w:rPr>
        <w:annotationRef/>
      </w:r>
      <w:hyperlink r:id="rId3" w:history="1">
        <w:r w:rsidRPr="0075390A">
          <w:rPr>
            <w:rStyle w:val="Hyperlink"/>
            <w:sz w:val="20"/>
            <w:szCs w:val="20"/>
          </w:rPr>
          <w:t>https://pubmed.ncbi.nlm.nih.gov/36210347/</w:t>
        </w:r>
      </w:hyperlink>
    </w:p>
  </w:comment>
  <w:comment w:id="4" w:author="Brian Locke" w:date="2026-04-08T19:17:00Z" w:initials="BL">
    <w:p w14:paraId="2F9282B1" w14:textId="77777777" w:rsidR="007A3670" w:rsidRDefault="002C4D06" w:rsidP="007A3670">
      <w:r>
        <w:rPr>
          <w:rStyle w:val="CommentReference"/>
        </w:rPr>
        <w:annotationRef/>
      </w:r>
      <w:r w:rsidR="007A3670">
        <w:rPr>
          <w:sz w:val="20"/>
          <w:szCs w:val="20"/>
        </w:rPr>
        <w:t xml:space="preserve">can cite my paper in CHEST  </w:t>
      </w:r>
      <w:hyperlink r:id="rId4" w:history="1">
        <w:r w:rsidR="007A3670" w:rsidRPr="00F26248">
          <w:rPr>
            <w:rStyle w:val="Hyperlink"/>
            <w:sz w:val="20"/>
            <w:szCs w:val="20"/>
          </w:rPr>
          <w:t>https://pmc.ncbi.nlm.nih.gov/articles/PMC12739763/</w:t>
        </w:r>
      </w:hyperlink>
      <w:r w:rsidR="007A3670">
        <w:rPr>
          <w:sz w:val="20"/>
          <w:szCs w:val="20"/>
        </w:rPr>
        <w:t xml:space="preserve"> and Nowbar - Nowbar S, Burkart KM, Gonzales R, et al. Obesity-associated hypoventilation in hospitalized patients: prevalence, effects, and outcome. Am J Med. Published online 2004. doi: 10.1016/j.amjmed.2003.08.022 [DOI] [Google Scholar]</w:t>
      </w:r>
    </w:p>
  </w:comment>
  <w:comment w:id="5" w:author="Brian Locke" w:date="2026-04-08T20:49:00Z" w:initials="BL">
    <w:p w14:paraId="7D757A26" w14:textId="77777777" w:rsidR="00C82313" w:rsidRDefault="00C82313" w:rsidP="00C82313">
      <w:r>
        <w:rPr>
          <w:rStyle w:val="CommentReference"/>
        </w:rPr>
        <w:annotationRef/>
      </w:r>
      <w:r>
        <w:rPr>
          <w:sz w:val="20"/>
          <w:szCs w:val="20"/>
        </w:rPr>
        <w:t>citation for current use: ****</w:t>
      </w:r>
    </w:p>
  </w:comment>
  <w:comment w:id="6" w:author="Brian Locke" w:date="2026-04-09T11:21:00Z" w:initials="BL">
    <w:p w14:paraId="7F0CFAD1" w14:textId="77777777" w:rsidR="00FF620B" w:rsidRDefault="00FF620B" w:rsidP="00FF620B">
      <w:r>
        <w:rPr>
          <w:rStyle w:val="CommentReference"/>
        </w:rPr>
        <w:annotationRef/>
      </w:r>
      <w:hyperlink r:id="rId5" w:history="1">
        <w:r w:rsidRPr="0059238F">
          <w:rPr>
            <w:rStyle w:val="Hyperlink"/>
            <w:sz w:val="20"/>
            <w:szCs w:val="20"/>
          </w:rPr>
          <w:t>https://www.mdpi.com/1648-9144/61/8/1337</w:t>
        </w:r>
      </w:hyperlink>
    </w:p>
  </w:comment>
  <w:comment w:id="7" w:author="Brian Locke" w:date="2026-04-09T12:11:00Z" w:initials="BL">
    <w:p w14:paraId="30D53488" w14:textId="77777777" w:rsidR="003747D2" w:rsidRDefault="003747D2" w:rsidP="003747D2">
      <w:r>
        <w:rPr>
          <w:rStyle w:val="CommentReference"/>
        </w:rPr>
        <w:annotationRef/>
      </w:r>
      <w:r>
        <w:rPr>
          <w:sz w:val="20"/>
          <w:szCs w:val="20"/>
        </w:rPr>
        <w:t>“Things We Do for No Reason” piece arguing that VBGs are safe and effective for screening hypercarbic respiratory failure, again emphasizing screening thresholds rather than prognostic equivalence</w:t>
      </w:r>
    </w:p>
  </w:comment>
  <w:comment w:id="8" w:author="Brian Locke" w:date="2026-04-08T19:18:00Z" w:initials="BL">
    <w:p w14:paraId="5E0C1D5E" w14:textId="7257A017" w:rsidR="002C4D06" w:rsidRDefault="002C4D06" w:rsidP="002C4D06">
      <w:r>
        <w:rPr>
          <w:rStyle w:val="CommentReference"/>
        </w:rPr>
        <w:annotationRef/>
      </w:r>
      <w:r>
        <w:rPr>
          <w:color w:val="262626"/>
          <w:sz w:val="20"/>
          <w:szCs w:val="20"/>
        </w:rPr>
        <w:t>. In a study by Davies et. al, hospitalized patients with known or suspected hypercapnic respiratory failure underwent near-simultaneous ABG and VBG testing, demonstrating close agreement in arterial pCO</w:t>
      </w:r>
      <w:r>
        <w:rPr>
          <w:color w:val="262626"/>
          <w:sz w:val="20"/>
          <w:szCs w:val="20"/>
          <w:vertAlign w:val="subscript"/>
        </w:rPr>
        <w:t>2</w:t>
      </w:r>
      <w:r>
        <w:rPr>
          <w:color w:val="262626"/>
          <w:sz w:val="20"/>
          <w:szCs w:val="20"/>
        </w:rPr>
        <w:t xml:space="preserve"> values and calculated values derived from VBGs, supporting the use of VBGs in monitoring hypercapnia.</w:t>
      </w:r>
      <w:r>
        <w:rPr>
          <w:color w:val="262626"/>
          <w:sz w:val="20"/>
          <w:szCs w:val="20"/>
          <w:vertAlign w:val="superscript"/>
        </w:rPr>
        <w:t>3</w:t>
      </w:r>
      <w:r>
        <w:rPr>
          <w:color w:val="262626"/>
          <w:sz w:val="20"/>
          <w:szCs w:val="20"/>
        </w:rPr>
        <w:t xml:space="preserve">  </w:t>
      </w:r>
    </w:p>
  </w:comment>
  <w:comment w:id="9" w:author="Brian Locke" w:date="2026-04-08T19:18:00Z" w:initials="BL">
    <w:p w14:paraId="068E684F" w14:textId="77777777" w:rsidR="00FF620B" w:rsidRDefault="002C4D06" w:rsidP="00FF620B">
      <w:r>
        <w:rPr>
          <w:rStyle w:val="CommentReference"/>
        </w:rPr>
        <w:annotationRef/>
      </w:r>
      <w:r w:rsidR="00FF620B">
        <w:rPr>
          <w:sz w:val="20"/>
          <w:szCs w:val="20"/>
        </w:rPr>
        <w:t xml:space="preserve">also, I think there is a meta-analysis? Byrne if first author of the meta-analysis </w:t>
      </w:r>
    </w:p>
  </w:comment>
  <w:comment w:id="10" w:author="Brian Locke" w:date="2026-04-08T19:18:00Z" w:initials="BL">
    <w:p w14:paraId="2EA97873" w14:textId="77777777" w:rsidR="003747D2" w:rsidRDefault="002C4D06" w:rsidP="003747D2">
      <w:r>
        <w:rPr>
          <w:rStyle w:val="CommentReference"/>
        </w:rPr>
        <w:annotationRef/>
      </w:r>
      <w:r w:rsidR="003747D2">
        <w:rPr>
          <w:sz w:val="20"/>
          <w:szCs w:val="20"/>
        </w:rPr>
        <w:t>Davies et al. 2023 studied mathematically arterialised venous blood gas sampling (v-TAC) in adults with hypercapnic respiratory failure and reported close agreement for PaCO₂ and pH, concluding that the method could replace routine ABG testing to recognise and monitor patients with hypercapnic respiratory failure</w:t>
      </w:r>
    </w:p>
  </w:comment>
  <w:comment w:id="11" w:author="Brian Locke" w:date="2026-04-09T12:11:00Z" w:initials="BL">
    <w:p w14:paraId="3C146E58" w14:textId="77777777" w:rsidR="003747D2" w:rsidRDefault="003747D2" w:rsidP="003747D2">
      <w:r>
        <w:rPr>
          <w:rStyle w:val="CommentReference"/>
        </w:rPr>
        <w:annotationRef/>
      </w:r>
      <w:r>
        <w:rPr>
          <w:sz w:val="20"/>
          <w:szCs w:val="20"/>
        </w:rPr>
        <w:t>Jörg et al. 2023 also evaluated venous-to-arterial conversion models and concluded that arterial pCO₂ could be estimated accurately in most ED patients from venous samples, but they specifically noted that additional caution was needed in hypo- or hypercapnia and in patients receiving oxygen therapy.</w:t>
      </w:r>
    </w:p>
  </w:comment>
  <w:comment w:id="12" w:author="Brian Locke" w:date="2026-04-08T19:19:00Z" w:initials="BL">
    <w:p w14:paraId="3F2B8108" w14:textId="4ACF908A" w:rsidR="002C4D06" w:rsidRDefault="002C4D06" w:rsidP="002C4D06">
      <w:r>
        <w:rPr>
          <w:rStyle w:val="CommentReference"/>
        </w:rPr>
        <w:annotationRef/>
      </w:r>
      <w:r>
        <w:rPr>
          <w:color w:val="262626"/>
          <w:sz w:val="20"/>
          <w:szCs w:val="20"/>
        </w:rPr>
        <w:t>Similarly, Lacy et. al analyzed a prospective study which found VBG to have 100% sensitivity in identifying hypercapnia in those with respiratory failure due to COPD exacerbation, pneumonia, heart failure and asthma using PvCO</w:t>
      </w:r>
      <w:r>
        <w:rPr>
          <w:color w:val="262626"/>
          <w:sz w:val="20"/>
          <w:szCs w:val="20"/>
          <w:vertAlign w:val="subscript"/>
        </w:rPr>
        <w:t>2</w:t>
      </w:r>
      <w:r>
        <w:rPr>
          <w:color w:val="262626"/>
          <w:sz w:val="20"/>
          <w:szCs w:val="20"/>
        </w:rPr>
        <w:t xml:space="preserve"> greater than 45 mmHg.</w:t>
      </w:r>
      <w:r>
        <w:rPr>
          <w:color w:val="262626"/>
          <w:sz w:val="20"/>
          <w:szCs w:val="20"/>
          <w:vertAlign w:val="superscript"/>
        </w:rPr>
        <w:t>1</w:t>
      </w:r>
      <w:r>
        <w:rPr>
          <w:color w:val="262626"/>
          <w:sz w:val="20"/>
          <w:szCs w:val="20"/>
        </w:rPr>
        <w:t xml:space="preserve"> Ak et. al published an additional prospective study in COPD patients in acute exacerbation that found VBG to identify hypercapnia in 100%. </w:t>
      </w:r>
      <w:r>
        <w:rPr>
          <w:color w:val="262626"/>
          <w:sz w:val="20"/>
          <w:szCs w:val="20"/>
          <w:vertAlign w:val="superscript"/>
        </w:rPr>
        <w:t>4</w:t>
      </w:r>
      <w:r>
        <w:rPr>
          <w:color w:val="262626"/>
          <w:sz w:val="20"/>
          <w:szCs w:val="20"/>
        </w:rPr>
        <w:t xml:space="preserve"> </w:t>
      </w:r>
    </w:p>
  </w:comment>
  <w:comment w:id="13" w:author="Brian Locke" w:date="2026-04-09T12:10:00Z" w:initials="BL">
    <w:p w14:paraId="1824FECC" w14:textId="77777777" w:rsidR="003747D2" w:rsidRDefault="003747D2" w:rsidP="003747D2">
      <w:r>
        <w:rPr>
          <w:rStyle w:val="CommentReference"/>
        </w:rPr>
        <w:annotationRef/>
      </w:r>
      <w:r>
        <w:rPr>
          <w:sz w:val="20"/>
          <w:szCs w:val="20"/>
        </w:rPr>
        <w:t>Kelly et al. 2005 explicitly validated venous PCO₂ as a screening test for arterial hypercarbia in COPD, using PvCO₂ &gt;45 mm Hg to screen for PaCO₂ &gt;50 mm Hg, and concluded that venous PCO₂ could potentially reduce the need for ABGs.</w:t>
      </w:r>
    </w:p>
    <w:p w14:paraId="5E4F8A2A" w14:textId="77777777" w:rsidR="003747D2" w:rsidRDefault="003747D2" w:rsidP="003747D2"/>
    <w:p w14:paraId="2C7444A0" w14:textId="77777777" w:rsidR="003747D2" w:rsidRDefault="003747D2" w:rsidP="003747D2">
      <w:r>
        <w:rPr>
          <w:sz w:val="20"/>
          <w:szCs w:val="20"/>
        </w:rPr>
        <w:t>McKeever et al. 2016, in a prospective cohort of COPD exacerbations, concluded that the initial assessment could be based on venous blood gas analysis and pulse oximetry, which would simplify the care pathway and improve patient experience. Again, that is a screening/initial assessment question, not a downstream prognostic question.</w:t>
      </w:r>
    </w:p>
    <w:p w14:paraId="03798007" w14:textId="77777777" w:rsidR="003747D2" w:rsidRDefault="003747D2" w:rsidP="003747D2"/>
    <w:p w14:paraId="330C6C7A" w14:textId="77777777" w:rsidR="003747D2" w:rsidRDefault="003747D2" w:rsidP="003747D2">
      <w:r>
        <w:rPr>
          <w:sz w:val="20"/>
          <w:szCs w:val="20"/>
        </w:rPr>
        <w:t>Lindstrom et al. 2024 similarly focused on diagnostic thresholds in patients referred for sleep studies: a venous PCO₂ &lt;45.8 mm Hg effectively excluded arterial hypercapnia and ≥53.7 mm Hg was highly specific for it, but the authors still concluded that VBGs were poor surrogates for ABGs where precision is important.</w:t>
      </w:r>
    </w:p>
  </w:comment>
  <w:comment w:id="14" w:author="Brian Locke" w:date="2026-04-08T19:19:00Z" w:initials="BL">
    <w:p w14:paraId="03975B81" w14:textId="77777777" w:rsidR="002C4D06" w:rsidRDefault="002C4D06" w:rsidP="002C4D06">
      <w:r>
        <w:rPr>
          <w:rStyle w:val="CommentReference"/>
        </w:rPr>
        <w:annotationRef/>
      </w:r>
      <w:r>
        <w:rPr>
          <w:color w:val="262626"/>
          <w:sz w:val="20"/>
          <w:szCs w:val="20"/>
        </w:rPr>
        <w:t>In contrast, McKeever observed wide variability between arterial and venous CO₂ levels in COPD patients with acute exacerbations, highlighting the limitations of analytic precision.</w:t>
      </w:r>
      <w:r>
        <w:rPr>
          <w:color w:val="262626"/>
          <w:sz w:val="20"/>
          <w:szCs w:val="20"/>
          <w:vertAlign w:val="superscript"/>
        </w:rPr>
        <w:t>2</w:t>
      </w:r>
      <w:r>
        <w:rPr>
          <w:color w:val="262626"/>
          <w:sz w:val="20"/>
          <w:szCs w:val="20"/>
        </w:rPr>
        <w:t xml:space="preserve"> </w:t>
      </w:r>
    </w:p>
  </w:comment>
  <w:comment w:id="15" w:author="Brian Locke" w:date="2026-04-09T12:08:00Z" w:initials="BL">
    <w:p w14:paraId="19B4C2B1" w14:textId="77777777" w:rsidR="00725035" w:rsidRDefault="00725035" w:rsidP="00725035">
      <w:r>
        <w:rPr>
          <w:rStyle w:val="CommentReference"/>
        </w:rPr>
        <w:annotationRef/>
      </w:r>
      <w:r>
        <w:rPr>
          <w:sz w:val="20"/>
          <w:szCs w:val="20"/>
        </w:rPr>
        <w:t>Bloom et al. 2014 described the emergency-medicine literature as showing that arteriovenous agreement for PCO₂ is poor, and that venous PCO₂ cannot be relied on as an absolute substitute for arterial PCO₂. However, the same review noted that a normal peripheral venous PCO₂ has good negative predictive value for normal arterial PCO₂, so it may still be useful as a screening test rather than a direct replacement.</w:t>
      </w:r>
    </w:p>
  </w:comment>
  <w:comment w:id="16" w:author="Brian Locke" w:date="2026-04-09T12:09:00Z" w:initials="BL">
    <w:p w14:paraId="7CAD3933" w14:textId="77777777" w:rsidR="003747D2" w:rsidRDefault="003747D2" w:rsidP="003747D2">
      <w:r>
        <w:rPr>
          <w:rStyle w:val="CommentReference"/>
        </w:rPr>
        <w:annotationRef/>
      </w:r>
      <w:r>
        <w:rPr>
          <w:sz w:val="20"/>
          <w:szCs w:val="20"/>
        </w:rPr>
        <w:t>Byrne et al. 2014 reached a similar conclusion in a broader systematic review and meta-analysis: peripheral venous blood gas analysis compared reasonably well with ABG for pH, but not for PCO₂ or PO₂, and the differences were large enough to matter clinically. In their pooled analysis, the bias for venous vs arterial PCO₂ was about −4.15 mm Hg with a wide credibility interval from −10.7 to +2.4 mm Hg, and they concluded that the relationships for PO₂ and PCO₂ were neither linear nor constant enough to justify direct comparison.</w:t>
      </w:r>
    </w:p>
  </w:comment>
  <w:comment w:id="17" w:author="Brian Locke" w:date="2026-04-09T11:14:00Z" w:initials="BL">
    <w:p w14:paraId="04AD913C" w14:textId="77777777" w:rsidR="00FF620B" w:rsidRDefault="00FF620B" w:rsidP="00FF620B">
      <w:r>
        <w:rPr>
          <w:rStyle w:val="CommentReference"/>
        </w:rPr>
        <w:annotationRef/>
      </w:r>
      <w:hyperlink r:id="rId6" w:history="1">
        <w:r w:rsidRPr="0078367B">
          <w:rPr>
            <w:rStyle w:val="Hyperlink"/>
            <w:sz w:val="20"/>
            <w:szCs w:val="20"/>
          </w:rPr>
          <w:t>https://ccforum.biomedcentral.com/articles/10.1186/s13054-025-05754-4</w:t>
        </w:r>
      </w:hyperlink>
      <w:r>
        <w:rPr>
          <w:sz w:val="20"/>
          <w:szCs w:val="20"/>
        </w:rPr>
        <w:t xml:space="preserve"> - framing “ultimate outcome is the gold standard</w:t>
      </w:r>
    </w:p>
  </w:comment>
  <w:comment w:id="18" w:author="Brian Locke" w:date="2026-04-09T12:12:00Z" w:initials="BL">
    <w:p w14:paraId="388F7A41" w14:textId="77777777" w:rsidR="003747D2" w:rsidRDefault="003747D2" w:rsidP="003747D2">
      <w:r>
        <w:rPr>
          <w:rStyle w:val="CommentReference"/>
        </w:rPr>
        <w:annotationRef/>
      </w:r>
      <w:r>
        <w:rPr>
          <w:sz w:val="20"/>
          <w:szCs w:val="20"/>
        </w:rPr>
        <w:t>Weimar et al. 2024. - Their systematic review was explicitly designed to look for the clinical impacts of using ABG vs VBG in adults hospitalized with respiratory presentations. They found that no included studies examined clinical impacts resulting from using VBG compared with ABG; the studies they found instead focused on agreement between measurements of pH, PO₂, PCO₂, and bicarbonate. They concluded that although prior reviews had already shown VBG reporting of PO₂ and PCO₂ to be less accurate, the clinical management and patient-outcome impacts were unknown, representing a “critical knowledge gap.”</w:t>
      </w:r>
    </w:p>
  </w:comment>
  <w:comment w:id="19" w:author="Brian Locke" w:date="2026-04-08T22:14:00Z" w:initials="BL">
    <w:p w14:paraId="3F2851E8" w14:textId="77777777" w:rsidR="00C61887" w:rsidRDefault="008D6027" w:rsidP="00C61887">
      <w:r>
        <w:rPr>
          <w:rStyle w:val="CommentReference"/>
        </w:rPr>
        <w:annotationRef/>
      </w:r>
      <w:r w:rsidR="00C61887">
        <w:rPr>
          <w:sz w:val="20"/>
          <w:szCs w:val="20"/>
        </w:rPr>
        <w:t>Decide whether repeated encounters need analytic handling</w:t>
      </w:r>
    </w:p>
    <w:p w14:paraId="08DB104B" w14:textId="77777777" w:rsidR="00C61887" w:rsidRDefault="00C61887" w:rsidP="00C61887"/>
    <w:p w14:paraId="570CCD02" w14:textId="77777777" w:rsidR="00C61887" w:rsidRDefault="00C61887" w:rsidP="00C61887">
      <w:r>
        <w:rPr>
          <w:sz w:val="20"/>
          <w:szCs w:val="20"/>
        </w:rPr>
        <w:t>Should we account for within-patient correlation?</w:t>
      </w:r>
    </w:p>
    <w:p w14:paraId="2121B5AC" w14:textId="77777777" w:rsidR="00C61887" w:rsidRDefault="00C61887" w:rsidP="00C61887"/>
    <w:p w14:paraId="25434933" w14:textId="77777777" w:rsidR="00C61887" w:rsidRDefault="00C61887" w:rsidP="00C61887">
      <w:r>
        <w:rPr>
          <w:sz w:val="20"/>
          <w:szCs w:val="20"/>
        </w:rPr>
        <w:t>justify encounter-level independence,</w:t>
      </w:r>
    </w:p>
    <w:p w14:paraId="215BE878" w14:textId="77777777" w:rsidR="00C61887" w:rsidRDefault="00C61887" w:rsidP="00C61887">
      <w:r>
        <w:rPr>
          <w:sz w:val="20"/>
          <w:szCs w:val="20"/>
        </w:rPr>
        <w:t>use cluster-robust standard errors if possible,</w:t>
      </w:r>
    </w:p>
    <w:p w14:paraId="2DEAB2B8" w14:textId="77777777" w:rsidR="00C61887" w:rsidRDefault="00C61887" w:rsidP="00C61887">
      <w:r>
        <w:rPr>
          <w:sz w:val="20"/>
          <w:szCs w:val="20"/>
        </w:rPr>
        <w:t>or add a sensitivity analysis restricted to the first eligible encounter per patient.</w:t>
      </w:r>
    </w:p>
  </w:comment>
  <w:comment w:id="20" w:author="Brian Locke" w:date="2026-04-09T14:34:00Z" w:initials="BL">
    <w:p w14:paraId="2B245F69" w14:textId="77777777" w:rsidR="00C61887" w:rsidRDefault="00C61887" w:rsidP="00C61887">
      <w:r>
        <w:rPr>
          <w:rStyle w:val="CommentReference"/>
        </w:rPr>
        <w:annotationRef/>
      </w:r>
      <w:r>
        <w:rPr>
          <w:b/>
          <w:bCs/>
          <w:sz w:val="20"/>
          <w:szCs w:val="20"/>
        </w:rPr>
        <w:t>Multiple encounters per patient</w:t>
      </w:r>
    </w:p>
    <w:p w14:paraId="33E1C747" w14:textId="77777777" w:rsidR="00C61887" w:rsidRDefault="00C61887" w:rsidP="00C61887">
      <w:r>
        <w:rPr>
          <w:sz w:val="20"/>
          <w:szCs w:val="20"/>
        </w:rPr>
        <w:t xml:space="preserve">Patients could contribute multiple eligible encounters, but the current methods do not explicitly say how ywe handled </w:t>
      </w:r>
      <w:r>
        <w:rPr>
          <w:b/>
          <w:bCs/>
          <w:sz w:val="20"/>
          <w:szCs w:val="20"/>
        </w:rPr>
        <w:t>within-patient correlation</w:t>
      </w:r>
      <w:r>
        <w:rPr>
          <w:sz w:val="20"/>
          <w:szCs w:val="20"/>
        </w:rPr>
        <w:t>. Reviewers may ask for cluster-robust standard errors, GEE, or multilevel models. Liang &amp; Zeger is the foundational GEE citation; Cameron &amp; Miller is a practical reference for cluster-robust inference.</w:t>
      </w:r>
    </w:p>
  </w:comment>
  <w:comment w:id="21" w:author="Brian Locke" w:date="2026-04-08T21:04:00Z" w:initials="BL">
    <w:p w14:paraId="29C9D5C9" w14:textId="77777777" w:rsidR="007A3670" w:rsidRDefault="000E6FEE" w:rsidP="007A3670">
      <w:r>
        <w:rPr>
          <w:rStyle w:val="CommentReference"/>
        </w:rPr>
        <w:annotationRef/>
      </w:r>
      <w:r w:rsidR="007A3670">
        <w:rPr>
          <w:color w:val="262626"/>
          <w:sz w:val="20"/>
          <w:szCs w:val="20"/>
        </w:rPr>
        <w:t>LOINC codes 2019-8, 2026-3, and 32771-8 ); venous samples were identified using LOINC codes 115577-6 and 2021-4.6.92.  - maybe we just make sure these are in the supplement?</w:t>
      </w:r>
    </w:p>
    <w:p w14:paraId="5C5E9154" w14:textId="77777777" w:rsidR="007A3670" w:rsidRDefault="007A3670" w:rsidP="007A3670"/>
  </w:comment>
  <w:comment w:id="22" w:author="Brian Locke" w:date="2026-04-08T21:05:00Z" w:initials="BL">
    <w:p w14:paraId="6BB1CEDA" w14:textId="14BDFC57" w:rsidR="007A3670" w:rsidRDefault="000E6FEE" w:rsidP="007A3670">
      <w:r>
        <w:rPr>
          <w:rStyle w:val="CommentReference"/>
        </w:rPr>
        <w:annotationRef/>
      </w:r>
      <w:r w:rsidR="007A3670">
        <w:rPr>
          <w:color w:val="262626"/>
          <w:sz w:val="20"/>
          <w:szCs w:val="20"/>
        </w:rPr>
        <w:t xml:space="preserve">ICD-10-CM codes E66.2, J96.02, J96.12, J96.22, and J96.92. </w:t>
      </w:r>
      <w:r w:rsidR="007A3670">
        <w:rPr>
          <w:sz w:val="20"/>
          <w:szCs w:val="20"/>
        </w:rPr>
        <w:t xml:space="preserve"> - maybe we just make sure these are in the supplement?</w:t>
      </w:r>
    </w:p>
  </w:comment>
  <w:comment w:id="23" w:author="Brian Locke" w:date="2026-04-09T11:23:00Z" w:initials="BL">
    <w:p w14:paraId="6147E16E" w14:textId="77777777" w:rsidR="00C96929" w:rsidRDefault="00C96929" w:rsidP="00C96929">
      <w:r>
        <w:rPr>
          <w:rStyle w:val="CommentReference"/>
        </w:rPr>
        <w:annotationRef/>
      </w:r>
      <w:hyperlink r:id="rId7" w:history="1">
        <w:r w:rsidRPr="00B66600">
          <w:rPr>
            <w:rStyle w:val="Hyperlink"/>
            <w:sz w:val="20"/>
            <w:szCs w:val="20"/>
          </w:rPr>
          <w:t>https://www.atsjournals.org/doi/10.1513/AnnalsATS.201808-564PS</w:t>
        </w:r>
      </w:hyperlink>
    </w:p>
    <w:p w14:paraId="70EC2118" w14:textId="77777777" w:rsidR="00C96929" w:rsidRDefault="00C96929" w:rsidP="00C96929"/>
  </w:comment>
  <w:comment w:id="24" w:author="Brian Locke" w:date="2026-04-09T11:21:00Z" w:initials="BL">
    <w:p w14:paraId="2DEC06DC" w14:textId="77777777" w:rsidR="00FF620B" w:rsidRDefault="00FF620B" w:rsidP="00FF620B">
      <w:r>
        <w:rPr>
          <w:rStyle w:val="CommentReference"/>
        </w:rPr>
        <w:annotationRef/>
      </w:r>
      <w:hyperlink r:id="rId8" w:history="1">
        <w:r w:rsidRPr="005A2DFD">
          <w:rPr>
            <w:rStyle w:val="Hyperlink"/>
            <w:sz w:val="20"/>
            <w:szCs w:val="20"/>
          </w:rPr>
          <w:t>https://pmc.ncbi.nlm.nih.gov/articles/PMC9278626/</w:t>
        </w:r>
      </w:hyperlink>
    </w:p>
  </w:comment>
  <w:comment w:id="25" w:author="Brian Locke" w:date="2026-04-09T11:04:00Z" w:initials="BL">
    <w:p w14:paraId="3477D9E8" w14:textId="77777777" w:rsidR="00A55193" w:rsidRDefault="00A55193" w:rsidP="00A55193">
      <w:r>
        <w:rPr>
          <w:rStyle w:val="CommentReference"/>
        </w:rPr>
        <w:annotationRef/>
      </w:r>
      <w:hyperlink r:id="rId9" w:history="1">
        <w:r w:rsidRPr="00F80728">
          <w:rPr>
            <w:rStyle w:val="Hyperlink"/>
            <w:sz w:val="20"/>
            <w:szCs w:val="20"/>
          </w:rPr>
          <w:t>https://pubmed.ncbi.nlm.nih.gov/19176974/</w:t>
        </w:r>
      </w:hyperlink>
    </w:p>
  </w:comment>
  <w:comment w:id="26" w:author="Brian Locke" w:date="2026-04-09T11:11:00Z" w:initials="BL">
    <w:p w14:paraId="5C0F6DF6" w14:textId="77777777" w:rsidR="00A55193" w:rsidRDefault="00A55193" w:rsidP="00A55193">
      <w:r>
        <w:rPr>
          <w:rStyle w:val="CommentReference"/>
        </w:rPr>
        <w:annotationRef/>
      </w:r>
      <w:hyperlink r:id="rId10" w:history="1">
        <w:r w:rsidRPr="00506A3F">
          <w:rPr>
            <w:rStyle w:val="Hyperlink"/>
            <w:sz w:val="20"/>
            <w:szCs w:val="20"/>
          </w:rPr>
          <w:t>https://digitalcommons.uri.edu/php_facpubs/77/</w:t>
        </w:r>
      </w:hyperlink>
    </w:p>
  </w:comment>
  <w:comment w:id="27" w:author="Brian Locke" w:date="2026-04-09T10:55:00Z" w:initials="BL">
    <w:p w14:paraId="2CDF8682" w14:textId="77777777" w:rsidR="005372D7" w:rsidRDefault="005372D7" w:rsidP="005372D7">
      <w:r>
        <w:rPr>
          <w:rStyle w:val="CommentReference"/>
        </w:rPr>
        <w:annotationRef/>
      </w:r>
      <w:hyperlink r:id="rId11" w:history="1">
        <w:r w:rsidRPr="00F91FFB">
          <w:rPr>
            <w:rStyle w:val="Hyperlink"/>
            <w:sz w:val="20"/>
            <w:szCs w:val="20"/>
          </w:rPr>
          <w:t>https://pmc.ncbi.nlm.nih.gov/articles/PMC11361408/</w:t>
        </w:r>
      </w:hyperlink>
    </w:p>
  </w:comment>
  <w:comment w:id="28" w:author="Brian Locke" w:date="2026-04-08T21:26:00Z" w:initials="BL">
    <w:p w14:paraId="164D1A5B" w14:textId="73DD271B" w:rsidR="005372D7" w:rsidRDefault="002A686D" w:rsidP="005372D7">
      <w:r>
        <w:rPr>
          <w:rStyle w:val="CommentReference"/>
        </w:rPr>
        <w:annotationRef/>
      </w:r>
      <w:r w:rsidR="005372D7">
        <w:rPr>
          <w:sz w:val="20"/>
          <w:szCs w:val="20"/>
        </w:rPr>
        <w:t xml:space="preserve">citation for this </w:t>
      </w:r>
      <w:hyperlink r:id="rId12" w:history="1">
        <w:r w:rsidR="005372D7" w:rsidRPr="005F0116">
          <w:rPr>
            <w:rStyle w:val="Hyperlink"/>
            <w:sz w:val="20"/>
            <w:szCs w:val="20"/>
          </w:rPr>
          <w:t>https://www.google.com/books/edition/Multiple_Imputation_for_Nonresponse_in_S/bQBtw6rx_mUC?hl=en</w:t>
        </w:r>
      </w:hyperlink>
      <w:r w:rsidR="005372D7">
        <w:rPr>
          <w:sz w:val="20"/>
          <w:szCs w:val="20"/>
        </w:rPr>
        <w:t xml:space="preserve"> and </w:t>
      </w:r>
      <w:hyperlink r:id="rId13" w:history="1">
        <w:r w:rsidR="005372D7" w:rsidRPr="005F0116">
          <w:rPr>
            <w:rStyle w:val="Hyperlink"/>
            <w:sz w:val="20"/>
            <w:szCs w:val="20"/>
          </w:rPr>
          <w:t>https://www.jstatsoft.org/article/view/v045i03</w:t>
        </w:r>
      </w:hyperlink>
    </w:p>
  </w:comment>
  <w:comment w:id="29" w:author="Brian Locke" w:date="2026-04-08T22:28:00Z" w:initials="BL">
    <w:p w14:paraId="5B730F48" w14:textId="29F318EF" w:rsidR="007A3670" w:rsidRDefault="00A21E81" w:rsidP="007A3670">
      <w:r>
        <w:rPr>
          <w:rStyle w:val="CommentReference"/>
        </w:rPr>
        <w:annotationRef/>
      </w:r>
      <w:r w:rsidR="007A3670">
        <w:rPr>
          <w:sz w:val="20"/>
          <w:szCs w:val="20"/>
        </w:rPr>
        <w:t>IS windsorized a better term? I'm actually not sure</w:t>
      </w:r>
    </w:p>
  </w:comment>
  <w:comment w:id="30" w:author="Brian Locke" w:date="2026-04-09T10:52:00Z" w:initials="BL">
    <w:p w14:paraId="3155EECE" w14:textId="77777777" w:rsidR="005372D7" w:rsidRDefault="005372D7" w:rsidP="005372D7">
      <w:r>
        <w:rPr>
          <w:rStyle w:val="CommentReference"/>
        </w:rPr>
        <w:annotationRef/>
      </w:r>
      <w:r>
        <w:rPr>
          <w:sz w:val="20"/>
          <w:szCs w:val="20"/>
        </w:rPr>
        <w:t xml:space="preserve">citation: </w:t>
      </w:r>
      <w:hyperlink r:id="rId14" w:history="1">
        <w:r w:rsidRPr="0055075B">
          <w:rPr>
            <w:rStyle w:val="Hyperlink"/>
            <w:sz w:val="20"/>
            <w:szCs w:val="20"/>
          </w:rPr>
          <w:t>https://pmc.ncbi.nlm.nih.gov/articles/PMC4107929/</w:t>
        </w:r>
      </w:hyperlink>
    </w:p>
  </w:comment>
  <w:comment w:id="31" w:author="Brian Locke" w:date="2026-04-09T11:12:00Z" w:initials="BL">
    <w:p w14:paraId="5AE17C7A" w14:textId="77777777" w:rsidR="00FF620B" w:rsidRDefault="00FF620B" w:rsidP="00FF620B">
      <w:r>
        <w:rPr>
          <w:rStyle w:val="CommentReference"/>
        </w:rPr>
        <w:annotationRef/>
      </w:r>
      <w:r>
        <w:rPr>
          <w:sz w:val="20"/>
          <w:szCs w:val="20"/>
        </w:rPr>
        <w:t xml:space="preserve">also </w:t>
      </w:r>
      <w:hyperlink r:id="rId15" w:history="1">
        <w:r w:rsidRPr="007E3BEE">
          <w:rPr>
            <w:rStyle w:val="Hyperlink"/>
            <w:sz w:val="20"/>
            <w:szCs w:val="20"/>
          </w:rPr>
          <w:t>https://pubmed.ncbi.nlm.nih.gov/40203240/</w:t>
        </w:r>
      </w:hyperlink>
    </w:p>
  </w:comment>
  <w:comment w:id="32" w:author="Brian Locke" w:date="2026-04-09T10:56:00Z" w:initials="BL">
    <w:p w14:paraId="45F76044" w14:textId="77777777" w:rsidR="005372D7" w:rsidRDefault="005372D7" w:rsidP="005372D7">
      <w:r>
        <w:rPr>
          <w:rStyle w:val="CommentReference"/>
        </w:rPr>
        <w:annotationRef/>
      </w:r>
      <w:hyperlink r:id="rId16" w:history="1">
        <w:r w:rsidRPr="00C92F74">
          <w:rPr>
            <w:rStyle w:val="Hyperlink"/>
            <w:sz w:val="20"/>
            <w:szCs w:val="20"/>
          </w:rPr>
          <w:t>https://www.jstatsoft.org/article/view/v009i08</w:t>
        </w:r>
      </w:hyperlink>
    </w:p>
  </w:comment>
  <w:comment w:id="33" w:author="Brian Locke" w:date="2026-04-09T10:57:00Z" w:initials="BL">
    <w:p w14:paraId="574923F3" w14:textId="77777777" w:rsidR="005372D7" w:rsidRDefault="005372D7" w:rsidP="005372D7">
      <w:r>
        <w:rPr>
          <w:rStyle w:val="CommentReference"/>
        </w:rPr>
        <w:annotationRef/>
      </w:r>
      <w:hyperlink r:id="rId17" w:history="1">
        <w:r w:rsidRPr="00A510ED">
          <w:rPr>
            <w:rStyle w:val="Hyperlink"/>
            <w:sz w:val="20"/>
            <w:szCs w:val="20"/>
          </w:rPr>
          <w:t>https://pmc.ncbi.nlm.nih.gov/articles/PMC3472075/</w:t>
        </w:r>
      </w:hyperlink>
    </w:p>
  </w:comment>
  <w:comment w:id="34" w:author="Brian Locke" w:date="2026-04-09T10:58:00Z" w:initials="BL">
    <w:p w14:paraId="44AE4710" w14:textId="77777777" w:rsidR="005372D7" w:rsidRDefault="005372D7" w:rsidP="005372D7">
      <w:r>
        <w:rPr>
          <w:rStyle w:val="CommentReference"/>
        </w:rPr>
        <w:annotationRef/>
      </w:r>
      <w:hyperlink r:id="rId18" w:history="1">
        <w:r w:rsidRPr="003F0137">
          <w:rPr>
            <w:rStyle w:val="Hyperlink"/>
            <w:sz w:val="20"/>
            <w:szCs w:val="20"/>
          </w:rPr>
          <w:t>https://pubmed.ncbi.nlm.nih.gov/15598095/</w:t>
        </w:r>
      </w:hyperlink>
    </w:p>
  </w:comment>
  <w:comment w:id="35" w:author="Brian Locke" w:date="2026-04-09T11:13:00Z" w:initials="BL">
    <w:p w14:paraId="17147733" w14:textId="77777777" w:rsidR="00FF620B" w:rsidRDefault="00FF620B" w:rsidP="00FF620B">
      <w:r>
        <w:rPr>
          <w:rStyle w:val="CommentReference"/>
        </w:rPr>
        <w:annotationRef/>
      </w:r>
      <w:r>
        <w:rPr>
          <w:sz w:val="20"/>
          <w:szCs w:val="20"/>
        </w:rPr>
        <w:t xml:space="preserve">also </w:t>
      </w:r>
      <w:hyperlink r:id="rId19" w:history="1">
        <w:r w:rsidRPr="00632E6D">
          <w:rPr>
            <w:rStyle w:val="Hyperlink"/>
            <w:sz w:val="20"/>
            <w:szCs w:val="20"/>
          </w:rPr>
          <w:t>https://pmc.ncbi.nlm.nih.gov/articles/PMC11825193/</w:t>
        </w:r>
      </w:hyperlink>
    </w:p>
  </w:comment>
  <w:comment w:id="36" w:author="Brian Locke" w:date="2026-04-09T10:59:00Z" w:initials="BL">
    <w:p w14:paraId="2F95BEFF" w14:textId="77777777" w:rsidR="005372D7" w:rsidRDefault="005372D7" w:rsidP="005372D7">
      <w:r>
        <w:rPr>
          <w:rStyle w:val="CommentReference"/>
        </w:rPr>
        <w:annotationRef/>
      </w:r>
      <w:hyperlink r:id="rId20" w:history="1">
        <w:r w:rsidRPr="00A453E8">
          <w:rPr>
            <w:rStyle w:val="Hyperlink"/>
            <w:sz w:val="20"/>
            <w:szCs w:val="20"/>
          </w:rPr>
          <w:t>https://ngreifer.github.io/WeightIt/authors.html#citation</w:t>
        </w:r>
      </w:hyperlink>
    </w:p>
  </w:comment>
  <w:comment w:id="37" w:author="Brian Locke" w:date="2026-04-09T10:58:00Z" w:initials="BL">
    <w:p w14:paraId="72E0579C" w14:textId="77777777" w:rsidR="005372D7" w:rsidRDefault="005372D7" w:rsidP="005372D7">
      <w:r>
        <w:rPr>
          <w:rStyle w:val="CommentReference"/>
        </w:rPr>
        <w:annotationRef/>
      </w:r>
      <w:hyperlink r:id="rId21" w:history="1">
        <w:r w:rsidRPr="000374B4">
          <w:rPr>
            <w:rStyle w:val="Hyperlink"/>
            <w:sz w:val="20"/>
            <w:szCs w:val="20"/>
          </w:rPr>
          <w:t>https://dl.acm.org/doi/10.5555/3295222.3295230</w:t>
        </w:r>
      </w:hyperlink>
    </w:p>
  </w:comment>
  <w:comment w:id="39" w:author="Brian Locke" w:date="2026-04-09T09:27:00Z" w:initials="BL">
    <w:p w14:paraId="19D00CB5" w14:textId="77777777" w:rsidR="00721BFB" w:rsidRDefault="00721BFB" w:rsidP="00721BFB">
      <w:r>
        <w:rPr>
          <w:rStyle w:val="CommentReference"/>
        </w:rPr>
        <w:annotationRef/>
      </w:r>
      <w:r>
        <w:rPr>
          <w:sz w:val="20"/>
          <w:szCs w:val="20"/>
        </w:rPr>
        <w:t>Note: need to update the specific numbers for the full run</w:t>
      </w:r>
    </w:p>
  </w:comment>
  <w:comment w:id="40" w:author="Brian Locke" w:date="2026-04-09T06:40:00Z" w:initials="BL">
    <w:p w14:paraId="38D793F7" w14:textId="163A8522" w:rsidR="00253A0E" w:rsidRDefault="00253A0E" w:rsidP="00253A0E">
      <w:r>
        <w:rPr>
          <w:rStyle w:val="CommentReference"/>
        </w:rPr>
        <w:annotationRef/>
      </w:r>
      <w:r>
        <w:rPr>
          <w:sz w:val="20"/>
          <w:szCs w:val="20"/>
        </w:rPr>
        <w:tab/>
        <w:t>•</w:t>
      </w:r>
      <w:r>
        <w:rPr>
          <w:sz w:val="20"/>
          <w:szCs w:val="20"/>
        </w:rPr>
        <w:tab/>
        <w:t>total eligible encounters</w:t>
      </w:r>
    </w:p>
    <w:p w14:paraId="41542A6B" w14:textId="77777777" w:rsidR="00253A0E" w:rsidRDefault="00253A0E" w:rsidP="00253A0E">
      <w:r>
        <w:rPr>
          <w:sz w:val="20"/>
          <w:szCs w:val="20"/>
        </w:rPr>
        <w:tab/>
        <w:t>•</w:t>
      </w:r>
      <w:r>
        <w:rPr>
          <w:sz w:val="20"/>
          <w:szCs w:val="20"/>
        </w:rPr>
        <w:tab/>
        <w:t>exclusions</w:t>
      </w:r>
    </w:p>
    <w:p w14:paraId="54EC33D8" w14:textId="77777777" w:rsidR="00253A0E" w:rsidRDefault="00253A0E" w:rsidP="00253A0E">
      <w:r>
        <w:rPr>
          <w:sz w:val="20"/>
          <w:szCs w:val="20"/>
        </w:rPr>
        <w:tab/>
        <w:t>•</w:t>
      </w:r>
      <w:r>
        <w:rPr>
          <w:sz w:val="20"/>
          <w:szCs w:val="20"/>
        </w:rPr>
        <w:tab/>
        <w:t>counts with ABG, VBG, both, neither</w:t>
      </w:r>
    </w:p>
    <w:p w14:paraId="3C620565" w14:textId="77777777" w:rsidR="00253A0E" w:rsidRDefault="00253A0E" w:rsidP="00253A0E">
      <w:r>
        <w:rPr>
          <w:sz w:val="20"/>
          <w:szCs w:val="20"/>
        </w:rPr>
        <w:tab/>
        <w:t>•</w:t>
      </w:r>
      <w:r>
        <w:rPr>
          <w:sz w:val="20"/>
          <w:szCs w:val="20"/>
        </w:rPr>
        <w:tab/>
        <w:t>Figure 1</w:t>
      </w:r>
    </w:p>
  </w:comment>
  <w:comment w:id="41" w:author="Brian Locke" w:date="2026-04-09T06:41:00Z" w:initials="BL">
    <w:p w14:paraId="53A65AD7" w14:textId="77777777" w:rsidR="00253A0E" w:rsidRDefault="00253A0E" w:rsidP="00253A0E">
      <w:r>
        <w:rPr>
          <w:rStyle w:val="CommentReference"/>
        </w:rPr>
        <w:annotationRef/>
      </w:r>
      <w:r>
        <w:rPr>
          <w:sz w:val="20"/>
          <w:szCs w:val="20"/>
        </w:rPr>
        <w:tab/>
        <w:t>•</w:t>
      </w:r>
      <w:r>
        <w:rPr>
          <w:sz w:val="20"/>
          <w:szCs w:val="20"/>
        </w:rPr>
        <w:tab/>
        <w:t>one compact paragraph</w:t>
      </w:r>
    </w:p>
    <w:p w14:paraId="2FF7CF2F" w14:textId="77777777" w:rsidR="00253A0E" w:rsidRDefault="00253A0E" w:rsidP="00253A0E">
      <w:r>
        <w:rPr>
          <w:sz w:val="20"/>
          <w:szCs w:val="20"/>
        </w:rPr>
        <w:tab/>
        <w:t>•</w:t>
      </w:r>
      <w:r>
        <w:rPr>
          <w:sz w:val="20"/>
          <w:szCs w:val="20"/>
        </w:rPr>
        <w:tab/>
        <w:t>Table 1</w:t>
      </w:r>
    </w:p>
    <w:p w14:paraId="654D9A43" w14:textId="77777777" w:rsidR="00253A0E" w:rsidRDefault="00253A0E" w:rsidP="00253A0E">
      <w:r>
        <w:rPr>
          <w:sz w:val="20"/>
          <w:szCs w:val="20"/>
        </w:rPr>
        <w:tab/>
        <w:t>•</w:t>
      </w:r>
      <w:r>
        <w:rPr>
          <w:sz w:val="20"/>
          <w:szCs w:val="20"/>
        </w:rPr>
        <w:tab/>
        <w:t>move excess descriptive tables to supplement</w:t>
      </w:r>
    </w:p>
  </w:comment>
  <w:comment w:id="42" w:author="Brian Locke" w:date="2026-04-09T06:43:00Z" w:initials="BL">
    <w:p w14:paraId="6AC0ACBE" w14:textId="77777777" w:rsidR="00253A0E" w:rsidRDefault="00253A0E" w:rsidP="00253A0E">
      <w:r>
        <w:rPr>
          <w:rStyle w:val="CommentReference"/>
        </w:rPr>
        <w:annotationRef/>
      </w:r>
      <w:r>
        <w:rPr>
          <w:sz w:val="20"/>
          <w:szCs w:val="20"/>
        </w:rPr>
        <w:tab/>
        <w:t>•</w:t>
      </w:r>
      <w:r>
        <w:rPr>
          <w:sz w:val="20"/>
          <w:szCs w:val="20"/>
        </w:rPr>
        <w:tab/>
        <w:t>weighted categorical ORs with 95% CIs</w:t>
      </w:r>
    </w:p>
    <w:p w14:paraId="7CAFE1E4" w14:textId="77777777" w:rsidR="00253A0E" w:rsidRDefault="00253A0E" w:rsidP="00253A0E">
      <w:r>
        <w:rPr>
          <w:sz w:val="20"/>
          <w:szCs w:val="20"/>
        </w:rPr>
        <w:tab/>
        <w:t>•</w:t>
      </w:r>
      <w:r>
        <w:rPr>
          <w:sz w:val="20"/>
          <w:szCs w:val="20"/>
        </w:rPr>
        <w:tab/>
        <w:t>weighted spline figure</w:t>
      </w:r>
    </w:p>
    <w:p w14:paraId="0279E51D" w14:textId="77777777" w:rsidR="00253A0E" w:rsidRDefault="00253A0E" w:rsidP="00253A0E">
      <w:r>
        <w:rPr>
          <w:sz w:val="20"/>
          <w:szCs w:val="20"/>
        </w:rPr>
        <w:tab/>
        <w:t>•</w:t>
      </w:r>
      <w:r>
        <w:rPr>
          <w:sz w:val="20"/>
          <w:szCs w:val="20"/>
        </w:rPr>
        <w:tab/>
        <w:t>one paragraph each</w:t>
      </w:r>
    </w:p>
    <w:p w14:paraId="7373EB36" w14:textId="77777777" w:rsidR="00253A0E" w:rsidRDefault="00253A0E" w:rsidP="00253A0E"/>
  </w:comment>
  <w:comment w:id="43" w:author="Brian Locke" w:date="2026-04-09T06:56:00Z" w:initials="BL">
    <w:p w14:paraId="18ABFD94" w14:textId="77777777" w:rsidR="009A1FC1" w:rsidRDefault="009A1FC1" w:rsidP="009A1FC1">
      <w:r>
        <w:rPr>
          <w:rStyle w:val="CommentReference"/>
        </w:rPr>
        <w:annotationRef/>
      </w:r>
      <w:r>
        <w:rPr>
          <w:color w:val="262626"/>
          <w:sz w:val="20"/>
          <w:szCs w:val="20"/>
        </w:rPr>
        <w:t>·       crude categorical models</w:t>
      </w:r>
    </w:p>
    <w:p w14:paraId="192BD81B" w14:textId="77777777" w:rsidR="009A1FC1" w:rsidRDefault="009A1FC1" w:rsidP="009A1FC1">
      <w:r>
        <w:rPr>
          <w:color w:val="262626"/>
          <w:sz w:val="20"/>
          <w:szCs w:val="20"/>
        </w:rPr>
        <w:t>·       unweighted adjusted splines</w:t>
      </w:r>
    </w:p>
    <w:p w14:paraId="3B2408C3" w14:textId="77777777" w:rsidR="009A1FC1" w:rsidRDefault="009A1FC1" w:rsidP="009A1FC1"/>
  </w:comment>
  <w:comment w:id="44" w:author="Brian Locke" w:date="2026-04-09T06:57:00Z" w:initials="BL">
    <w:p w14:paraId="3823D752" w14:textId="77777777" w:rsidR="009A1FC1" w:rsidRDefault="009A1FC1" w:rsidP="009A1FC1">
      <w:r>
        <w:rPr>
          <w:rStyle w:val="CommentReference"/>
        </w:rPr>
        <w:annotationRef/>
      </w:r>
      <w:r>
        <w:rPr>
          <w:color w:val="262626"/>
          <w:sz w:val="20"/>
          <w:szCs w:val="20"/>
        </w:rPr>
        <w:t>·       balance and overlap</w:t>
      </w:r>
    </w:p>
    <w:p w14:paraId="520829F2" w14:textId="77777777" w:rsidR="009A1FC1" w:rsidRDefault="009A1FC1" w:rsidP="009A1FC1">
      <w:r>
        <w:rPr>
          <w:color w:val="262626"/>
          <w:sz w:val="20"/>
          <w:szCs w:val="20"/>
        </w:rPr>
        <w:t>·       GBM sensitivity gave similar/different results</w:t>
      </w:r>
    </w:p>
    <w:p w14:paraId="1E3E1BDB" w14:textId="77777777" w:rsidR="009A1FC1" w:rsidRDefault="009A1FC1" w:rsidP="009A1FC1">
      <w:r>
        <w:rPr>
          <w:color w:val="262626"/>
          <w:sz w:val="20"/>
          <w:szCs w:val="20"/>
        </w:rPr>
        <w:t>·       SHAP only if you really want it</w:t>
      </w:r>
    </w:p>
    <w:p w14:paraId="76E72532" w14:textId="77777777" w:rsidR="009A1FC1" w:rsidRDefault="009A1FC1" w:rsidP="009A1FC1"/>
  </w:comment>
  <w:comment w:id="45" w:author="Brian Locke" w:date="2026-04-09T12:35:00Z" w:initials="BL">
    <w:p w14:paraId="603AE6D9" w14:textId="77777777" w:rsidR="00637D69" w:rsidRDefault="00637D69" w:rsidP="00637D69">
      <w:r>
        <w:rPr>
          <w:rStyle w:val="CommentReference"/>
        </w:rPr>
        <w:annotationRef/>
      </w:r>
      <w:r>
        <w:rPr>
          <w:sz w:val="20"/>
          <w:szCs w:val="20"/>
        </w:rPr>
        <w:t xml:space="preserve">Davies - </w:t>
      </w:r>
      <w:hyperlink r:id="rId22" w:history="1">
        <w:r w:rsidRPr="003370F3">
          <w:rPr>
            <w:rStyle w:val="Hyperlink"/>
            <w:sz w:val="20"/>
            <w:szCs w:val="20"/>
          </w:rPr>
          <w:t>https://bmjopenrespres.bmj.com/content/10/1/e001537</w:t>
        </w:r>
      </w:hyperlink>
    </w:p>
  </w:comment>
  <w:comment w:id="46" w:author="Brian Locke" w:date="2026-04-09T12:34:00Z" w:initials="BL">
    <w:p w14:paraId="0EA73272" w14:textId="77777777" w:rsidR="00637D69" w:rsidRDefault="00637D69" w:rsidP="00637D69">
      <w:r>
        <w:rPr>
          <w:rStyle w:val="CommentReference"/>
        </w:rPr>
        <w:annotationRef/>
      </w:r>
      <w:r>
        <w:rPr>
          <w:sz w:val="20"/>
          <w:szCs w:val="20"/>
        </w:rPr>
        <w:t xml:space="preserve">Weimer - </w:t>
      </w:r>
      <w:hyperlink r:id="rId23" w:history="1">
        <w:r w:rsidRPr="005008EE">
          <w:rPr>
            <w:rStyle w:val="Hyperlink"/>
            <w:sz w:val="20"/>
            <w:szCs w:val="20"/>
          </w:rPr>
          <w:t>https://pubmed.ncbi.nlm.nih.gov/38856155/</w:t>
        </w:r>
      </w:hyperlink>
    </w:p>
  </w:comment>
  <w:comment w:id="47" w:author="Brian Locke" w:date="2026-04-09T12:31:00Z" w:initials="BL">
    <w:p w14:paraId="3CED7C0A" w14:textId="77777777" w:rsidR="00637D69" w:rsidRDefault="00637D69" w:rsidP="00637D69">
      <w:r>
        <w:rPr>
          <w:rStyle w:val="CommentReference"/>
        </w:rPr>
        <w:annotationRef/>
      </w:r>
      <w:hyperlink r:id="rId24" w:history="1">
        <w:r w:rsidRPr="00B246EF">
          <w:rPr>
            <w:rStyle w:val="Hyperlink"/>
            <w:sz w:val="20"/>
            <w:szCs w:val="20"/>
          </w:rPr>
          <w:t>https://pmc.ncbi.nlm.nih.gov/articles/PMC12412979/</w:t>
        </w:r>
      </w:hyperlink>
    </w:p>
  </w:comment>
  <w:comment w:id="48" w:author="Brian Locke" w:date="2025-09-22T16:03:00Z" w:initials="BL">
    <w:p w14:paraId="56896536" w14:textId="16B6756C"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25"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26BAA3" w15:done="0"/>
  <w15:commentEx w15:paraId="29537397" w15:done="0"/>
  <w15:commentEx w15:paraId="6DF72313" w15:done="0"/>
  <w15:commentEx w15:paraId="4FE3898E" w15:paraIdParent="6DF72313" w15:done="0"/>
  <w15:commentEx w15:paraId="2F9282B1" w15:done="0"/>
  <w15:commentEx w15:paraId="7D757A26" w15:done="0"/>
  <w15:commentEx w15:paraId="7F0CFAD1" w15:paraIdParent="7D757A26" w15:done="0"/>
  <w15:commentEx w15:paraId="30D53488" w15:done="0"/>
  <w15:commentEx w15:paraId="5E0C1D5E" w15:done="0"/>
  <w15:commentEx w15:paraId="068E684F" w15:paraIdParent="5E0C1D5E" w15:done="0"/>
  <w15:commentEx w15:paraId="2EA97873" w15:done="0"/>
  <w15:commentEx w15:paraId="3C146E58" w15:paraIdParent="2EA97873" w15:done="0"/>
  <w15:commentEx w15:paraId="3F2B8108" w15:done="0"/>
  <w15:commentEx w15:paraId="330C6C7A" w15:paraIdParent="3F2B8108" w15:done="0"/>
  <w15:commentEx w15:paraId="03975B81" w15:done="0"/>
  <w15:commentEx w15:paraId="19B4C2B1" w15:paraIdParent="03975B81" w15:done="0"/>
  <w15:commentEx w15:paraId="7CAD3933" w15:paraIdParent="03975B81" w15:done="0"/>
  <w15:commentEx w15:paraId="04AD913C" w15:done="0"/>
  <w15:commentEx w15:paraId="388F7A41" w15:done="0"/>
  <w15:commentEx w15:paraId="2DEAB2B8" w15:done="0"/>
  <w15:commentEx w15:paraId="33E1C747" w15:paraIdParent="2DEAB2B8" w15:done="0"/>
  <w15:commentEx w15:paraId="5C5E9154" w15:done="0"/>
  <w15:commentEx w15:paraId="6BB1CEDA" w15:done="0"/>
  <w15:commentEx w15:paraId="70EC2118" w15:done="0"/>
  <w15:commentEx w15:paraId="2DEC06DC" w15:done="0"/>
  <w15:commentEx w15:paraId="3477D9E8" w15:done="0"/>
  <w15:commentEx w15:paraId="5C0F6DF6" w15:paraIdParent="3477D9E8" w15:done="0"/>
  <w15:commentEx w15:paraId="2CDF8682" w15:done="0"/>
  <w15:commentEx w15:paraId="164D1A5B" w15:done="0"/>
  <w15:commentEx w15:paraId="5B730F48" w15:done="0"/>
  <w15:commentEx w15:paraId="3155EECE" w15:paraIdParent="5B730F48" w15:done="0"/>
  <w15:commentEx w15:paraId="5AE17C7A" w15:paraIdParent="5B730F48" w15:done="0"/>
  <w15:commentEx w15:paraId="45F76044" w15:done="0"/>
  <w15:commentEx w15:paraId="574923F3" w15:done="0"/>
  <w15:commentEx w15:paraId="44AE4710" w15:done="0"/>
  <w15:commentEx w15:paraId="17147733" w15:paraIdParent="44AE4710" w15:done="0"/>
  <w15:commentEx w15:paraId="2F95BEFF" w15:done="0"/>
  <w15:commentEx w15:paraId="72E0579C" w15:done="0"/>
  <w15:commentEx w15:paraId="19D00CB5" w15:done="0"/>
  <w15:commentEx w15:paraId="3C620565" w15:done="0"/>
  <w15:commentEx w15:paraId="654D9A43" w15:done="0"/>
  <w15:commentEx w15:paraId="7373EB36" w15:done="0"/>
  <w15:commentEx w15:paraId="3B2408C3" w15:done="0"/>
  <w15:commentEx w15:paraId="76E72532" w15:done="0"/>
  <w15:commentEx w15:paraId="603AE6D9" w15:done="0"/>
  <w15:commentEx w15:paraId="0EA73272" w15:done="0"/>
  <w15:commentEx w15:paraId="3CED7C0A" w15:done="0"/>
  <w15:commentEx w15:paraId="568965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5254A" w16cex:dateUtc="2026-04-09T01:13:00Z"/>
  <w16cex:commentExtensible w16cex:durableId="138198D8" w16cex:dateUtc="2026-04-09T02:39:00Z"/>
  <w16cex:commentExtensible w16cex:durableId="594AAA2B" w16cex:dateUtc="2026-04-09T00:35:00Z"/>
  <w16cex:commentExtensible w16cex:durableId="7813C1A3" w16cex:dateUtc="2026-04-09T02:40:00Z"/>
  <w16cex:commentExtensible w16cex:durableId="7CFBB384" w16cex:dateUtc="2026-04-09T01:17:00Z"/>
  <w16cex:commentExtensible w16cex:durableId="7742105F" w16cex:dateUtc="2026-04-09T02:49:00Z"/>
  <w16cex:commentExtensible w16cex:durableId="14A924B5" w16cex:dateUtc="2026-04-09T17:21:00Z"/>
  <w16cex:commentExtensible w16cex:durableId="7F19A7EE" w16cex:dateUtc="2026-04-09T18:11:00Z"/>
  <w16cex:commentExtensible w16cex:durableId="0FB1E654" w16cex:dateUtc="2026-04-09T01:18:00Z"/>
  <w16cex:commentExtensible w16cex:durableId="373F72AB" w16cex:dateUtc="2026-04-09T01:18:00Z"/>
  <w16cex:commentExtensible w16cex:durableId="61D5B237" w16cex:dateUtc="2026-04-09T01:18:00Z"/>
  <w16cex:commentExtensible w16cex:durableId="2258D3C1" w16cex:dateUtc="2026-04-09T18:11:00Z"/>
  <w16cex:commentExtensible w16cex:durableId="0264BF0A" w16cex:dateUtc="2026-04-09T01:19:00Z"/>
  <w16cex:commentExtensible w16cex:durableId="2AFB9BB5" w16cex:dateUtc="2026-04-09T18:10:00Z"/>
  <w16cex:commentExtensible w16cex:durableId="25E29C21" w16cex:dateUtc="2026-04-09T01:19:00Z"/>
  <w16cex:commentExtensible w16cex:durableId="24C03B8B" w16cex:dateUtc="2026-04-09T18:08:00Z"/>
  <w16cex:commentExtensible w16cex:durableId="2A6073F5" w16cex:dateUtc="2026-04-09T18:09:00Z"/>
  <w16cex:commentExtensible w16cex:durableId="636C2EF3" w16cex:dateUtc="2026-04-09T17:14:00Z"/>
  <w16cex:commentExtensible w16cex:durableId="0393C337" w16cex:dateUtc="2026-04-09T18:12:00Z"/>
  <w16cex:commentExtensible w16cex:durableId="27916F95" w16cex:dateUtc="2026-04-09T04:14:00Z"/>
  <w16cex:commentExtensible w16cex:durableId="71FE33F6" w16cex:dateUtc="2026-04-09T20:34:00Z"/>
  <w16cex:commentExtensible w16cex:durableId="5106CFC0" w16cex:dateUtc="2026-04-09T03:04:00Z"/>
  <w16cex:commentExtensible w16cex:durableId="7C511B06" w16cex:dateUtc="2026-04-09T03:05:00Z"/>
  <w16cex:commentExtensible w16cex:durableId="2C4CE2AF" w16cex:dateUtc="2026-04-09T17:23:00Z"/>
  <w16cex:commentExtensible w16cex:durableId="46A428A2" w16cex:dateUtc="2026-04-09T17:21:00Z"/>
  <w16cex:commentExtensible w16cex:durableId="01F6C333" w16cex:dateUtc="2026-04-09T17:04:00Z"/>
  <w16cex:commentExtensible w16cex:durableId="5714A51C" w16cex:dateUtc="2026-04-09T17:11:00Z"/>
  <w16cex:commentExtensible w16cex:durableId="38F6D2C2" w16cex:dateUtc="2026-04-09T16:55:00Z"/>
  <w16cex:commentExtensible w16cex:durableId="3C620091" w16cex:dateUtc="2026-04-09T03:26:00Z"/>
  <w16cex:commentExtensible w16cex:durableId="3151F3C7" w16cex:dateUtc="2026-04-09T04:28:00Z"/>
  <w16cex:commentExtensible w16cex:durableId="5210A8AF" w16cex:dateUtc="2026-04-09T16:52:00Z"/>
  <w16cex:commentExtensible w16cex:durableId="5CD64E61" w16cex:dateUtc="2026-04-09T17:12:00Z"/>
  <w16cex:commentExtensible w16cex:durableId="0DB43017" w16cex:dateUtc="2026-04-09T16:56:00Z"/>
  <w16cex:commentExtensible w16cex:durableId="22A2C8CA" w16cex:dateUtc="2026-04-09T16:57:00Z"/>
  <w16cex:commentExtensible w16cex:durableId="0FF03AF6" w16cex:dateUtc="2026-04-09T16:58:00Z"/>
  <w16cex:commentExtensible w16cex:durableId="3D7CC637" w16cex:dateUtc="2026-04-09T17:13:00Z"/>
  <w16cex:commentExtensible w16cex:durableId="2A662EA6" w16cex:dateUtc="2026-04-09T16:59:00Z"/>
  <w16cex:commentExtensible w16cex:durableId="3B2F8573" w16cex:dateUtc="2026-04-09T16:58:00Z"/>
  <w16cex:commentExtensible w16cex:durableId="53783149" w16cex:dateUtc="2026-04-09T15:27:00Z"/>
  <w16cex:commentExtensible w16cex:durableId="7D3DD8DC" w16cex:dateUtc="2026-04-09T12:40:00Z"/>
  <w16cex:commentExtensible w16cex:durableId="72F8B6C1" w16cex:dateUtc="2026-04-09T12:41:00Z"/>
  <w16cex:commentExtensible w16cex:durableId="0E5D73E2" w16cex:dateUtc="2026-04-09T12:43:00Z"/>
  <w16cex:commentExtensible w16cex:durableId="49EACB6E" w16cex:dateUtc="2026-04-09T12:56:00Z"/>
  <w16cex:commentExtensible w16cex:durableId="0AF9B76F" w16cex:dateUtc="2026-04-09T12:57:00Z"/>
  <w16cex:commentExtensible w16cex:durableId="664C00AE" w16cex:dateUtc="2026-04-09T18:35:00Z"/>
  <w16cex:commentExtensible w16cex:durableId="22F53BBD" w16cex:dateUtc="2026-04-09T18:34:00Z"/>
  <w16cex:commentExtensible w16cex:durableId="25454D6E" w16cex:dateUtc="2026-04-09T18:31:00Z"/>
  <w16cex:commentExtensible w16cex:durableId="08937769" w16cex:dateUtc="2025-09-22T2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26BAA3" w16cid:durableId="03D5254A"/>
  <w16cid:commentId w16cid:paraId="29537397" w16cid:durableId="138198D8"/>
  <w16cid:commentId w16cid:paraId="6DF72313" w16cid:durableId="594AAA2B"/>
  <w16cid:commentId w16cid:paraId="4FE3898E" w16cid:durableId="7813C1A3"/>
  <w16cid:commentId w16cid:paraId="2F9282B1" w16cid:durableId="7CFBB384"/>
  <w16cid:commentId w16cid:paraId="7D757A26" w16cid:durableId="7742105F"/>
  <w16cid:commentId w16cid:paraId="7F0CFAD1" w16cid:durableId="14A924B5"/>
  <w16cid:commentId w16cid:paraId="30D53488" w16cid:durableId="7F19A7EE"/>
  <w16cid:commentId w16cid:paraId="5E0C1D5E" w16cid:durableId="0FB1E654"/>
  <w16cid:commentId w16cid:paraId="068E684F" w16cid:durableId="373F72AB"/>
  <w16cid:commentId w16cid:paraId="2EA97873" w16cid:durableId="61D5B237"/>
  <w16cid:commentId w16cid:paraId="3C146E58" w16cid:durableId="2258D3C1"/>
  <w16cid:commentId w16cid:paraId="3F2B8108" w16cid:durableId="0264BF0A"/>
  <w16cid:commentId w16cid:paraId="330C6C7A" w16cid:durableId="2AFB9BB5"/>
  <w16cid:commentId w16cid:paraId="03975B81" w16cid:durableId="25E29C21"/>
  <w16cid:commentId w16cid:paraId="19B4C2B1" w16cid:durableId="24C03B8B"/>
  <w16cid:commentId w16cid:paraId="7CAD3933" w16cid:durableId="2A6073F5"/>
  <w16cid:commentId w16cid:paraId="04AD913C" w16cid:durableId="636C2EF3"/>
  <w16cid:commentId w16cid:paraId="388F7A41" w16cid:durableId="0393C337"/>
  <w16cid:commentId w16cid:paraId="2DEAB2B8" w16cid:durableId="27916F95"/>
  <w16cid:commentId w16cid:paraId="33E1C747" w16cid:durableId="71FE33F6"/>
  <w16cid:commentId w16cid:paraId="5C5E9154" w16cid:durableId="5106CFC0"/>
  <w16cid:commentId w16cid:paraId="6BB1CEDA" w16cid:durableId="7C511B06"/>
  <w16cid:commentId w16cid:paraId="70EC2118" w16cid:durableId="2C4CE2AF"/>
  <w16cid:commentId w16cid:paraId="2DEC06DC" w16cid:durableId="46A428A2"/>
  <w16cid:commentId w16cid:paraId="3477D9E8" w16cid:durableId="01F6C333"/>
  <w16cid:commentId w16cid:paraId="5C0F6DF6" w16cid:durableId="5714A51C"/>
  <w16cid:commentId w16cid:paraId="2CDF8682" w16cid:durableId="38F6D2C2"/>
  <w16cid:commentId w16cid:paraId="164D1A5B" w16cid:durableId="3C620091"/>
  <w16cid:commentId w16cid:paraId="5B730F48" w16cid:durableId="3151F3C7"/>
  <w16cid:commentId w16cid:paraId="3155EECE" w16cid:durableId="5210A8AF"/>
  <w16cid:commentId w16cid:paraId="5AE17C7A" w16cid:durableId="5CD64E61"/>
  <w16cid:commentId w16cid:paraId="45F76044" w16cid:durableId="0DB43017"/>
  <w16cid:commentId w16cid:paraId="574923F3" w16cid:durableId="22A2C8CA"/>
  <w16cid:commentId w16cid:paraId="44AE4710" w16cid:durableId="0FF03AF6"/>
  <w16cid:commentId w16cid:paraId="17147733" w16cid:durableId="3D7CC637"/>
  <w16cid:commentId w16cid:paraId="2F95BEFF" w16cid:durableId="2A662EA6"/>
  <w16cid:commentId w16cid:paraId="72E0579C" w16cid:durableId="3B2F8573"/>
  <w16cid:commentId w16cid:paraId="19D00CB5" w16cid:durableId="53783149"/>
  <w16cid:commentId w16cid:paraId="3C620565" w16cid:durableId="7D3DD8DC"/>
  <w16cid:commentId w16cid:paraId="654D9A43" w16cid:durableId="72F8B6C1"/>
  <w16cid:commentId w16cid:paraId="7373EB36" w16cid:durableId="0E5D73E2"/>
  <w16cid:commentId w16cid:paraId="3B2408C3" w16cid:durableId="49EACB6E"/>
  <w16cid:commentId w16cid:paraId="76E72532" w16cid:durableId="0AF9B76F"/>
  <w16cid:commentId w16cid:paraId="603AE6D9" w16cid:durableId="664C00AE"/>
  <w16cid:commentId w16cid:paraId="0EA73272" w16cid:durableId="22F53BBD"/>
  <w16cid:commentId w16cid:paraId="3CED7C0A" w16cid:durableId="25454D6E"/>
  <w16cid:commentId w16cid:paraId="56896536" w16cid:durableId="089377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A6951"/>
    <w:multiLevelType w:val="multilevel"/>
    <w:tmpl w:val="126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56D6F"/>
    <w:multiLevelType w:val="multilevel"/>
    <w:tmpl w:val="322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081413"/>
    <w:multiLevelType w:val="multilevel"/>
    <w:tmpl w:val="826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10568"/>
    <w:multiLevelType w:val="multilevel"/>
    <w:tmpl w:val="45D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D36E0"/>
    <w:multiLevelType w:val="multilevel"/>
    <w:tmpl w:val="F4D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14"/>
  </w:num>
  <w:num w:numId="2" w16cid:durableId="595556395">
    <w:abstractNumId w:val="3"/>
  </w:num>
  <w:num w:numId="3" w16cid:durableId="1632125910">
    <w:abstractNumId w:val="0"/>
  </w:num>
  <w:num w:numId="4" w16cid:durableId="948049133">
    <w:abstractNumId w:val="7"/>
  </w:num>
  <w:num w:numId="5" w16cid:durableId="1530219149">
    <w:abstractNumId w:val="6"/>
  </w:num>
  <w:num w:numId="6" w16cid:durableId="559026416">
    <w:abstractNumId w:val="10"/>
  </w:num>
  <w:num w:numId="7" w16cid:durableId="1650206624">
    <w:abstractNumId w:val="5"/>
  </w:num>
  <w:num w:numId="8" w16cid:durableId="1271814131">
    <w:abstractNumId w:val="4"/>
  </w:num>
  <w:num w:numId="9" w16cid:durableId="240337973">
    <w:abstractNumId w:val="8"/>
  </w:num>
  <w:num w:numId="10" w16cid:durableId="274335340">
    <w:abstractNumId w:val="15"/>
  </w:num>
  <w:num w:numId="11" w16cid:durableId="1527519959">
    <w:abstractNumId w:val="2"/>
  </w:num>
  <w:num w:numId="12" w16cid:durableId="123157109">
    <w:abstractNumId w:val="11"/>
  </w:num>
  <w:num w:numId="13" w16cid:durableId="995382728">
    <w:abstractNumId w:val="12"/>
  </w:num>
  <w:num w:numId="14" w16cid:durableId="1873608726">
    <w:abstractNumId w:val="1"/>
  </w:num>
  <w:num w:numId="15" w16cid:durableId="2010208497">
    <w:abstractNumId w:val="13"/>
  </w:num>
  <w:num w:numId="16" w16cid:durableId="126838584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04BB3"/>
    <w:rsid w:val="00012817"/>
    <w:rsid w:val="000136E1"/>
    <w:rsid w:val="00014022"/>
    <w:rsid w:val="00014971"/>
    <w:rsid w:val="00014B1A"/>
    <w:rsid w:val="0001560E"/>
    <w:rsid w:val="0001686B"/>
    <w:rsid w:val="00023368"/>
    <w:rsid w:val="0002440A"/>
    <w:rsid w:val="000329AB"/>
    <w:rsid w:val="00036A1F"/>
    <w:rsid w:val="00046CB9"/>
    <w:rsid w:val="000633AA"/>
    <w:rsid w:val="00085DAB"/>
    <w:rsid w:val="000901F9"/>
    <w:rsid w:val="000914AC"/>
    <w:rsid w:val="000915C4"/>
    <w:rsid w:val="0009268F"/>
    <w:rsid w:val="000B5ADC"/>
    <w:rsid w:val="000E6FEE"/>
    <w:rsid w:val="000F32AD"/>
    <w:rsid w:val="00100F5F"/>
    <w:rsid w:val="00105578"/>
    <w:rsid w:val="001249AC"/>
    <w:rsid w:val="00127836"/>
    <w:rsid w:val="00130945"/>
    <w:rsid w:val="0013144F"/>
    <w:rsid w:val="001353ED"/>
    <w:rsid w:val="00141EF3"/>
    <w:rsid w:val="00143F12"/>
    <w:rsid w:val="00167A49"/>
    <w:rsid w:val="00170070"/>
    <w:rsid w:val="0018420C"/>
    <w:rsid w:val="00190485"/>
    <w:rsid w:val="001A2A15"/>
    <w:rsid w:val="001B32C2"/>
    <w:rsid w:val="001B7B55"/>
    <w:rsid w:val="001C7A69"/>
    <w:rsid w:val="001D1058"/>
    <w:rsid w:val="001E221A"/>
    <w:rsid w:val="001F3608"/>
    <w:rsid w:val="002048EE"/>
    <w:rsid w:val="00205822"/>
    <w:rsid w:val="00206BCD"/>
    <w:rsid w:val="002408FC"/>
    <w:rsid w:val="00240B02"/>
    <w:rsid w:val="002525D7"/>
    <w:rsid w:val="00253A0E"/>
    <w:rsid w:val="002675EA"/>
    <w:rsid w:val="00271666"/>
    <w:rsid w:val="002940E0"/>
    <w:rsid w:val="0029620F"/>
    <w:rsid w:val="002A686D"/>
    <w:rsid w:val="002A7B8C"/>
    <w:rsid w:val="002B78BE"/>
    <w:rsid w:val="002C0F26"/>
    <w:rsid w:val="002C4D06"/>
    <w:rsid w:val="002D0D41"/>
    <w:rsid w:val="002D127D"/>
    <w:rsid w:val="002E17CC"/>
    <w:rsid w:val="002F62D9"/>
    <w:rsid w:val="00313A8C"/>
    <w:rsid w:val="003248E8"/>
    <w:rsid w:val="00340339"/>
    <w:rsid w:val="00352C95"/>
    <w:rsid w:val="00355BE1"/>
    <w:rsid w:val="003622B1"/>
    <w:rsid w:val="00366EC5"/>
    <w:rsid w:val="00371B7D"/>
    <w:rsid w:val="003747D2"/>
    <w:rsid w:val="003748FA"/>
    <w:rsid w:val="00385B46"/>
    <w:rsid w:val="00395EFA"/>
    <w:rsid w:val="003974ED"/>
    <w:rsid w:val="003A4D0B"/>
    <w:rsid w:val="003A60EF"/>
    <w:rsid w:val="003C68CF"/>
    <w:rsid w:val="003D5D94"/>
    <w:rsid w:val="003F46F3"/>
    <w:rsid w:val="0040000E"/>
    <w:rsid w:val="0042458F"/>
    <w:rsid w:val="00426255"/>
    <w:rsid w:val="00441AC6"/>
    <w:rsid w:val="00444422"/>
    <w:rsid w:val="00455F0D"/>
    <w:rsid w:val="00474628"/>
    <w:rsid w:val="00474BE2"/>
    <w:rsid w:val="00475CD6"/>
    <w:rsid w:val="00483DE7"/>
    <w:rsid w:val="00490B91"/>
    <w:rsid w:val="00491638"/>
    <w:rsid w:val="004A44BC"/>
    <w:rsid w:val="004B59DA"/>
    <w:rsid w:val="004C1CAD"/>
    <w:rsid w:val="004D10C1"/>
    <w:rsid w:val="004E21CB"/>
    <w:rsid w:val="004F2470"/>
    <w:rsid w:val="00503062"/>
    <w:rsid w:val="00507D33"/>
    <w:rsid w:val="005122E1"/>
    <w:rsid w:val="00512974"/>
    <w:rsid w:val="00513252"/>
    <w:rsid w:val="00517CCE"/>
    <w:rsid w:val="005372D7"/>
    <w:rsid w:val="00542602"/>
    <w:rsid w:val="00551560"/>
    <w:rsid w:val="00562DD2"/>
    <w:rsid w:val="00573A39"/>
    <w:rsid w:val="00575969"/>
    <w:rsid w:val="00582361"/>
    <w:rsid w:val="00585875"/>
    <w:rsid w:val="005A3508"/>
    <w:rsid w:val="005B1016"/>
    <w:rsid w:val="005D47AC"/>
    <w:rsid w:val="005D4E8A"/>
    <w:rsid w:val="005D7CFD"/>
    <w:rsid w:val="00600BB9"/>
    <w:rsid w:val="00616842"/>
    <w:rsid w:val="006309B9"/>
    <w:rsid w:val="00630A4A"/>
    <w:rsid w:val="006353C1"/>
    <w:rsid w:val="00637D69"/>
    <w:rsid w:val="00652FA0"/>
    <w:rsid w:val="0065351D"/>
    <w:rsid w:val="00653BC7"/>
    <w:rsid w:val="006544FD"/>
    <w:rsid w:val="00654FD4"/>
    <w:rsid w:val="00656089"/>
    <w:rsid w:val="0066154E"/>
    <w:rsid w:val="00663A2A"/>
    <w:rsid w:val="006746ED"/>
    <w:rsid w:val="00684926"/>
    <w:rsid w:val="00685BF4"/>
    <w:rsid w:val="00696B36"/>
    <w:rsid w:val="006A1A0A"/>
    <w:rsid w:val="006A2AB3"/>
    <w:rsid w:val="006B10FD"/>
    <w:rsid w:val="006C3196"/>
    <w:rsid w:val="006F20D0"/>
    <w:rsid w:val="006F45ED"/>
    <w:rsid w:val="006F71F0"/>
    <w:rsid w:val="00705FAE"/>
    <w:rsid w:val="00712B5C"/>
    <w:rsid w:val="00721BFB"/>
    <w:rsid w:val="007235D8"/>
    <w:rsid w:val="00725035"/>
    <w:rsid w:val="007257FA"/>
    <w:rsid w:val="00727E33"/>
    <w:rsid w:val="00746846"/>
    <w:rsid w:val="007666D7"/>
    <w:rsid w:val="00767F19"/>
    <w:rsid w:val="0077289B"/>
    <w:rsid w:val="0077378C"/>
    <w:rsid w:val="00783C38"/>
    <w:rsid w:val="0079139F"/>
    <w:rsid w:val="00792B14"/>
    <w:rsid w:val="00796D4C"/>
    <w:rsid w:val="007A3670"/>
    <w:rsid w:val="007A56D7"/>
    <w:rsid w:val="007B144D"/>
    <w:rsid w:val="007C328F"/>
    <w:rsid w:val="007C45E3"/>
    <w:rsid w:val="007F201E"/>
    <w:rsid w:val="007F6E7F"/>
    <w:rsid w:val="0080390F"/>
    <w:rsid w:val="0081071E"/>
    <w:rsid w:val="008270B7"/>
    <w:rsid w:val="00834607"/>
    <w:rsid w:val="00840233"/>
    <w:rsid w:val="00842D49"/>
    <w:rsid w:val="00863839"/>
    <w:rsid w:val="00864AE3"/>
    <w:rsid w:val="00865C61"/>
    <w:rsid w:val="0087161F"/>
    <w:rsid w:val="0087358F"/>
    <w:rsid w:val="008738DE"/>
    <w:rsid w:val="00874157"/>
    <w:rsid w:val="008A1CF7"/>
    <w:rsid w:val="008A38A0"/>
    <w:rsid w:val="008B3B15"/>
    <w:rsid w:val="008D52AC"/>
    <w:rsid w:val="008D6027"/>
    <w:rsid w:val="008F038C"/>
    <w:rsid w:val="008F3368"/>
    <w:rsid w:val="008F3B13"/>
    <w:rsid w:val="00907981"/>
    <w:rsid w:val="00912422"/>
    <w:rsid w:val="00915C29"/>
    <w:rsid w:val="0092438A"/>
    <w:rsid w:val="009254DB"/>
    <w:rsid w:val="009326AD"/>
    <w:rsid w:val="009329C5"/>
    <w:rsid w:val="00936CD2"/>
    <w:rsid w:val="00971134"/>
    <w:rsid w:val="009961A5"/>
    <w:rsid w:val="009975D7"/>
    <w:rsid w:val="009A1FC1"/>
    <w:rsid w:val="009B45F8"/>
    <w:rsid w:val="009B5CD6"/>
    <w:rsid w:val="009C2BA0"/>
    <w:rsid w:val="009D2F0E"/>
    <w:rsid w:val="009D3F5B"/>
    <w:rsid w:val="009D5547"/>
    <w:rsid w:val="009D556C"/>
    <w:rsid w:val="009E5E1F"/>
    <w:rsid w:val="00A00A43"/>
    <w:rsid w:val="00A03DF4"/>
    <w:rsid w:val="00A1178B"/>
    <w:rsid w:val="00A160F4"/>
    <w:rsid w:val="00A16840"/>
    <w:rsid w:val="00A16EC0"/>
    <w:rsid w:val="00A21E81"/>
    <w:rsid w:val="00A30943"/>
    <w:rsid w:val="00A431A9"/>
    <w:rsid w:val="00A52488"/>
    <w:rsid w:val="00A55193"/>
    <w:rsid w:val="00A74E0E"/>
    <w:rsid w:val="00A90844"/>
    <w:rsid w:val="00A97944"/>
    <w:rsid w:val="00AA1A4B"/>
    <w:rsid w:val="00AA5DED"/>
    <w:rsid w:val="00AB166B"/>
    <w:rsid w:val="00AB2AEB"/>
    <w:rsid w:val="00AC0F01"/>
    <w:rsid w:val="00AC2459"/>
    <w:rsid w:val="00AC3978"/>
    <w:rsid w:val="00AD221A"/>
    <w:rsid w:val="00AD2A62"/>
    <w:rsid w:val="00AE17B0"/>
    <w:rsid w:val="00B045D4"/>
    <w:rsid w:val="00B21F6A"/>
    <w:rsid w:val="00B246CC"/>
    <w:rsid w:val="00B32ABC"/>
    <w:rsid w:val="00B40D57"/>
    <w:rsid w:val="00B5505E"/>
    <w:rsid w:val="00B63576"/>
    <w:rsid w:val="00B662BC"/>
    <w:rsid w:val="00B9014E"/>
    <w:rsid w:val="00B934C7"/>
    <w:rsid w:val="00BB1819"/>
    <w:rsid w:val="00BB6D92"/>
    <w:rsid w:val="00BD1FE2"/>
    <w:rsid w:val="00BE5EBB"/>
    <w:rsid w:val="00BF0483"/>
    <w:rsid w:val="00BF0B86"/>
    <w:rsid w:val="00BF3E1B"/>
    <w:rsid w:val="00BF5D19"/>
    <w:rsid w:val="00C06272"/>
    <w:rsid w:val="00C06B95"/>
    <w:rsid w:val="00C073DB"/>
    <w:rsid w:val="00C2542E"/>
    <w:rsid w:val="00C321CF"/>
    <w:rsid w:val="00C33680"/>
    <w:rsid w:val="00C33EC4"/>
    <w:rsid w:val="00C35878"/>
    <w:rsid w:val="00C46589"/>
    <w:rsid w:val="00C61887"/>
    <w:rsid w:val="00C675E8"/>
    <w:rsid w:val="00C76655"/>
    <w:rsid w:val="00C81C78"/>
    <w:rsid w:val="00C81D68"/>
    <w:rsid w:val="00C82313"/>
    <w:rsid w:val="00C92D73"/>
    <w:rsid w:val="00C94851"/>
    <w:rsid w:val="00C96929"/>
    <w:rsid w:val="00CA0746"/>
    <w:rsid w:val="00CA5324"/>
    <w:rsid w:val="00CB25C9"/>
    <w:rsid w:val="00CC407B"/>
    <w:rsid w:val="00CC677B"/>
    <w:rsid w:val="00CD2BCB"/>
    <w:rsid w:val="00CD53B6"/>
    <w:rsid w:val="00CE29FF"/>
    <w:rsid w:val="00CE4A38"/>
    <w:rsid w:val="00CF2F66"/>
    <w:rsid w:val="00D01958"/>
    <w:rsid w:val="00D10E22"/>
    <w:rsid w:val="00D1109E"/>
    <w:rsid w:val="00D222E7"/>
    <w:rsid w:val="00D32E66"/>
    <w:rsid w:val="00D4253F"/>
    <w:rsid w:val="00D61DF5"/>
    <w:rsid w:val="00D64177"/>
    <w:rsid w:val="00D66B38"/>
    <w:rsid w:val="00D7072B"/>
    <w:rsid w:val="00D727F7"/>
    <w:rsid w:val="00D72F07"/>
    <w:rsid w:val="00D7473C"/>
    <w:rsid w:val="00D762CE"/>
    <w:rsid w:val="00D77C5D"/>
    <w:rsid w:val="00D930F1"/>
    <w:rsid w:val="00D96756"/>
    <w:rsid w:val="00DA1ECF"/>
    <w:rsid w:val="00DA34BE"/>
    <w:rsid w:val="00DB2487"/>
    <w:rsid w:val="00DC310B"/>
    <w:rsid w:val="00DD2D6F"/>
    <w:rsid w:val="00DD406E"/>
    <w:rsid w:val="00DF1AD1"/>
    <w:rsid w:val="00DF3A61"/>
    <w:rsid w:val="00DF6E20"/>
    <w:rsid w:val="00E005A5"/>
    <w:rsid w:val="00E171A4"/>
    <w:rsid w:val="00E25F33"/>
    <w:rsid w:val="00E31648"/>
    <w:rsid w:val="00E41283"/>
    <w:rsid w:val="00E71005"/>
    <w:rsid w:val="00E72EA0"/>
    <w:rsid w:val="00E776E4"/>
    <w:rsid w:val="00E82E31"/>
    <w:rsid w:val="00E84485"/>
    <w:rsid w:val="00E93A4C"/>
    <w:rsid w:val="00E94929"/>
    <w:rsid w:val="00E97003"/>
    <w:rsid w:val="00EA5046"/>
    <w:rsid w:val="00EB5CEC"/>
    <w:rsid w:val="00EC3E29"/>
    <w:rsid w:val="00ED24CB"/>
    <w:rsid w:val="00EF19A4"/>
    <w:rsid w:val="00EF5250"/>
    <w:rsid w:val="00F3127F"/>
    <w:rsid w:val="00F42AE1"/>
    <w:rsid w:val="00F52ADC"/>
    <w:rsid w:val="00F76534"/>
    <w:rsid w:val="00F8269A"/>
    <w:rsid w:val="00F95C92"/>
    <w:rsid w:val="00FB4309"/>
    <w:rsid w:val="00FD49E7"/>
    <w:rsid w:val="00FD6AE3"/>
    <w:rsid w:val="00FF620B"/>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1A9"/>
    <w:pPr>
      <w:spacing w:after="120"/>
    </w:pPr>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2FA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style>
  <w:style w:type="paragraph" w:customStyle="1" w:styleId="p3">
    <w:name w:val="p3"/>
    <w:basedOn w:val="Normal"/>
    <w:rsid w:val="00014B1A"/>
    <w:pPr>
      <w:spacing w:before="100" w:beforeAutospacing="1" w:after="100" w:afterAutospacing="1"/>
    </w:p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77289B"/>
    <w:pPr>
      <w:numPr>
        <w:ilvl w:val="1"/>
      </w:numPr>
      <w:spacing w:after="160"/>
    </w:pPr>
    <w:rPr>
      <w:rFonts w:eastAsiaTheme="minorEastAsia" w:cs="Times New Roman (Body CS)"/>
      <w:b/>
      <w:color w:val="000000" w:themeColor="text1"/>
      <w:szCs w:val="22"/>
    </w:rPr>
  </w:style>
  <w:style w:type="character" w:customStyle="1" w:styleId="SubtitleChar">
    <w:name w:val="Subtitle Char"/>
    <w:basedOn w:val="DefaultParagraphFont"/>
    <w:link w:val="Subtitle"/>
    <w:uiPriority w:val="11"/>
    <w:rsid w:val="0077289B"/>
    <w:rPr>
      <w:rFonts w:ascii="Times New Roman" w:eastAsiaTheme="minorEastAsia" w:hAnsi="Times New Roman" w:cs="Times New Roman (Body CS)"/>
      <w:b/>
      <w:color w:val="000000" w:themeColor="text1"/>
      <w:szCs w:val="22"/>
    </w:rPr>
  </w:style>
  <w:style w:type="paragraph" w:styleId="NoSpacing">
    <w:name w:val="No Spacing"/>
    <w:uiPriority w:val="1"/>
    <w:qFormat/>
    <w:rsid w:val="00600BB9"/>
  </w:style>
  <w:style w:type="paragraph" w:styleId="Title">
    <w:name w:val="Title"/>
    <w:basedOn w:val="Subtitle"/>
    <w:next w:val="Normal"/>
    <w:link w:val="TitleChar"/>
    <w:uiPriority w:val="10"/>
    <w:qFormat/>
    <w:rsid w:val="002408FC"/>
    <w:rPr>
      <w:bCs/>
      <w:color w:val="000000"/>
      <w:u w:val="single"/>
    </w:rPr>
  </w:style>
  <w:style w:type="character" w:customStyle="1" w:styleId="TitleChar">
    <w:name w:val="Title Char"/>
    <w:basedOn w:val="DefaultParagraphFont"/>
    <w:link w:val="Title"/>
    <w:uiPriority w:val="10"/>
    <w:rsid w:val="002408FC"/>
    <w:rPr>
      <w:rFonts w:ascii="Times New Roman" w:eastAsiaTheme="minorEastAsia" w:hAnsi="Times New Roman" w:cs="Times New Roman (Body CS)"/>
      <w:b/>
      <w:bCs/>
      <w:color w:val="000000"/>
      <w:kern w:val="0"/>
      <w:szCs w:val="22"/>
      <w:u w:val="single"/>
      <w14:ligatures w14:val="none"/>
    </w:rPr>
  </w:style>
  <w:style w:type="character" w:styleId="FollowedHyperlink">
    <w:name w:val="FollowedHyperlink"/>
    <w:basedOn w:val="DefaultParagraphFont"/>
    <w:uiPriority w:val="99"/>
    <w:semiHidden/>
    <w:unhideWhenUsed/>
    <w:rsid w:val="0077289B"/>
    <w:rPr>
      <w:color w:val="954F72" w:themeColor="followedHyperlink"/>
      <w:u w:val="single"/>
    </w:rPr>
  </w:style>
  <w:style w:type="character" w:customStyle="1" w:styleId="Heading3Char">
    <w:name w:val="Heading 3 Char"/>
    <w:basedOn w:val="DefaultParagraphFont"/>
    <w:link w:val="Heading3"/>
    <w:uiPriority w:val="9"/>
    <w:rsid w:val="00652FA0"/>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936CD2"/>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mc.ncbi.nlm.nih.gov/articles/PMC9278626/" TargetMode="External"/><Relationship Id="rId13" Type="http://schemas.openxmlformats.org/officeDocument/2006/relationships/hyperlink" Target="https://www.jstatsoft.org/article/view/v045i03" TargetMode="External"/><Relationship Id="rId18" Type="http://schemas.openxmlformats.org/officeDocument/2006/relationships/hyperlink" Target="https://pubmed.ncbi.nlm.nih.gov/15598095/" TargetMode="External"/><Relationship Id="rId3" Type="http://schemas.openxmlformats.org/officeDocument/2006/relationships/hyperlink" Target="https://pubmed.ncbi.nlm.nih.gov/36210347/" TargetMode="External"/><Relationship Id="rId21" Type="http://schemas.openxmlformats.org/officeDocument/2006/relationships/hyperlink" Target="https://dl.acm.org/doi/10.5555/3295222.3295230" TargetMode="External"/><Relationship Id="rId7" Type="http://schemas.openxmlformats.org/officeDocument/2006/relationships/hyperlink" Target="https://www.atsjournals.org/doi/10.1513/AnnalsATS.201808-564PS" TargetMode="External"/><Relationship Id="rId12" Type="http://schemas.openxmlformats.org/officeDocument/2006/relationships/hyperlink" Target="https://www.google.com/books/edition/Multiple_Imputation_for_Nonresponse_in_S/bQBtw6rx_mUC?hl=en" TargetMode="External"/><Relationship Id="rId17" Type="http://schemas.openxmlformats.org/officeDocument/2006/relationships/hyperlink" Target="https://pmc.ncbi.nlm.nih.gov/articles/PMC3472075/" TargetMode="External"/><Relationship Id="rId25" Type="http://schemas.openxmlformats.org/officeDocument/2006/relationships/hyperlink" Target="https://www.zotero.org/groups/6192411/abg-vbg_literature" TargetMode="External"/><Relationship Id="rId2" Type="http://schemas.openxmlformats.org/officeDocument/2006/relationships/hyperlink" Target="https://bmjopenrespres.bmj.com/content/11/1/e002266" TargetMode="External"/><Relationship Id="rId16" Type="http://schemas.openxmlformats.org/officeDocument/2006/relationships/hyperlink" Target="https://www.jstatsoft.org/article/view/v009i08" TargetMode="External"/><Relationship Id="rId20" Type="http://schemas.openxmlformats.org/officeDocument/2006/relationships/hyperlink" Target="https://ngreifer.github.io/WeightIt/authors.html#citation" TargetMode="External"/><Relationship Id="rId1" Type="http://schemas.openxmlformats.org/officeDocument/2006/relationships/hyperlink" Target="https://pubmed.ncbi.nlm.nih.gov/33951397/" TargetMode="External"/><Relationship Id="rId6" Type="http://schemas.openxmlformats.org/officeDocument/2006/relationships/hyperlink" Target="https://ccforum.biomedcentral.com/articles/10.1186/s13054-025-05754-4" TargetMode="External"/><Relationship Id="rId11" Type="http://schemas.openxmlformats.org/officeDocument/2006/relationships/hyperlink" Target="https://pmc.ncbi.nlm.nih.gov/articles/PMC11361408/" TargetMode="External"/><Relationship Id="rId24" Type="http://schemas.openxmlformats.org/officeDocument/2006/relationships/hyperlink" Target="https://pmc.ncbi.nlm.nih.gov/articles/PMC12412979/" TargetMode="External"/><Relationship Id="rId5" Type="http://schemas.openxmlformats.org/officeDocument/2006/relationships/hyperlink" Target="https://www.mdpi.com/1648-9144/61/8/1337" TargetMode="External"/><Relationship Id="rId15" Type="http://schemas.openxmlformats.org/officeDocument/2006/relationships/hyperlink" Target="https://pubmed.ncbi.nlm.nih.gov/40203240/" TargetMode="External"/><Relationship Id="rId23" Type="http://schemas.openxmlformats.org/officeDocument/2006/relationships/hyperlink" Target="https://pubmed.ncbi.nlm.nih.gov/38856155/" TargetMode="External"/><Relationship Id="rId10" Type="http://schemas.openxmlformats.org/officeDocument/2006/relationships/hyperlink" Target="https://digitalcommons.uri.edu/php_facpubs/77/" TargetMode="External"/><Relationship Id="rId19" Type="http://schemas.openxmlformats.org/officeDocument/2006/relationships/hyperlink" Target="https://pmc.ncbi.nlm.nih.gov/articles/PMC11825193/" TargetMode="External"/><Relationship Id="rId4" Type="http://schemas.openxmlformats.org/officeDocument/2006/relationships/hyperlink" Target="https://pmc.ncbi.nlm.nih.gov/articles/PMC12739763/" TargetMode="External"/><Relationship Id="rId9" Type="http://schemas.openxmlformats.org/officeDocument/2006/relationships/hyperlink" Target="https://pubmed.ncbi.nlm.nih.gov/19176974/" TargetMode="External"/><Relationship Id="rId14" Type="http://schemas.openxmlformats.org/officeDocument/2006/relationships/hyperlink" Target="https://pmc.ncbi.nlm.nih.gov/articles/PMC4107929/" TargetMode="External"/><Relationship Id="rId22" Type="http://schemas.openxmlformats.org/officeDocument/2006/relationships/hyperlink" Target="https://bmjopenrespres.bmj.com/content/10/1/e001537"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github.com/reblocke/abg-vbg-project"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19</Pages>
  <Words>5330</Words>
  <Characters>30387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Brian Locke</cp:lastModifiedBy>
  <cp:revision>15</cp:revision>
  <dcterms:created xsi:type="dcterms:W3CDTF">2026-04-08T19:41:00Z</dcterms:created>
  <dcterms:modified xsi:type="dcterms:W3CDTF">2026-04-09T20:40:00Z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id="bnHZa4Fu"/&gt;&lt;style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