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1A: 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5,175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3,264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1,911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 ± 17.7; 0.0/3,264.0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17.2; 0.0/1,911.0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 ± 8.9; 1,821.0/3,264.0 missing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7.0; 1,113.0/1,911.0 missing (58.2%)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854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2,009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1,271 (67%)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(4.4%)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(11%)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1,374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 (20%)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(8.4%)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 (16%)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(23%)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 (24%)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(5.4%)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 (10%)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(29%)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1,628 (85%)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1B: 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5,175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3,730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1,445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17.6; 0.0/3,730.0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17.7; 0.0/1,445.0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8.6; 1,939.0/3,730.0 missing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7.5; 995.0/1,445.0 missing (68.9%)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670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2,513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(7.8%)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(31%)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597 (41%)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(9.8%)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(4.0%)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 (19%)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2,483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982 (68%)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2026-04-09T14:43:20Z</dcterms:modified>
  <cp:category/>
</cp:coreProperties>
</file>