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61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16.8; 0.0/825.0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18.4; 0.0/521.0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16.5; 0.0/565.0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57.2 ± 18.3; 0.0/647.0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17.7; 0.0/402.0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16.3; 0.0/396.0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6.8; 457.0/825.0 missing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 ± 6.5; 318.0/521.0 missing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29.9 ± 7.7; 338.0/565.0 missing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29.7 ± 7.6; 465.0/647.0 missing (71.9%)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27.7 ± 6.3; 249.0/402.0 missing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29.4 ± 8.6; 281.0/396.0 missing (71.0%)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308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 (57%)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556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325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(59%)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(21%)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(5.3%)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(0.8%)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(12%)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 (35%)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(12%)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(10%)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(27%)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(6.6%)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 (18%)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194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 (28%)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698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456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474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 (72%)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39.8 ± 3.0; 0.0/825.0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29.6 ± 4.5; 0.0/521.0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59.1 ± 19.3; 0.0/565.0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vbg_co2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44.5 ± 3.0; 0.0/647.0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33.1 ± 5.5; 0.0/402.0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13.6; 0.0/396.0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2026-02-06T19:50:19Z</dcterms:modified>
  <cp:category/>
</cp:coreProperties>
</file>