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2. Baseline summary by CO2 category within ABG and VBG cohorts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 by CO2 category within ABG and VBG cohorts**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(PaCO2)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(PvCO2)</w:t>
            </w:r>
          </w:p>
        </w:tc>
      </w:tr>
      <w:tr>
        <w:trPr>
          <w:trHeight w:val="618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61.9 ± 16.8; 0.0/825.0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± 18.4; 0.0/521.0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61.9 ± 16.5; 0.0/565.0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57.2 ± 18.3; 0.0/647.0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17.7; 0.0/402.0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61.6 ± 16.3; 0.0/396.0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28.5 ± 6.8; 457.0/825.0 missing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28.1 ± 6.5; 318.0/521.0 missing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29.9 ± 7.7; 338.0/565.0 missing (59.8%)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29.7 ± 7.6; 465.0/647.0 missing (71.9%)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27.7 ± 6.3; 249.0/402.0 missing (61.9%)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29.4 ± 8.6; 281.0/396.0 missing (71.0%)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372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225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 (43%)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453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308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225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 (57%)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556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325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(59%)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(21%)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 (5.3%)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(0.8%)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 (12%)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284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306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138 (35%)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 (12%)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(10%)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(21%)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 (14%)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 (30%)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 (27%)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 (6.6%)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 (14%)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 (18%)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194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157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111 (28%)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698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456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474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285 (72%)</w:t>
            </w:r>
          </w:p>
        </w:tc>
      </w:tr>
      <w:tr>
        <w:trPr>
          <w:trHeight w:val="62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paco2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39.8 ± 3.0; 0.0/825.0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29.6 ± 4.5; 0.0/521.0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59.1 ± 19.3; 0.0/565.0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vbg_co2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44.5 ± 3.0; 0.0/647.0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33.1 ± 5.5; 0.0/402.0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61.6 ± 13.6; 0.0/396.0 missing (0.0%)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2026-02-07T17:38:24Z</dcterms:modified>
  <cp:category/>
</cp:coreProperties>
</file>