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01A8" w14:textId="65F86EB7" w:rsidR="00D87197" w:rsidRPr="00AA3AF9" w:rsidRDefault="00D87197" w:rsidP="00D87197">
      <w:pPr>
        <w:rPr>
          <w:rStyle w:val="s1"/>
          <w:rFonts w:ascii="Times New Roman" w:hAnsi="Times New Roman" w:cs="Times New Roman"/>
          <w:i/>
          <w:iCs/>
        </w:rPr>
      </w:pPr>
      <w:r w:rsidRPr="00AA3AF9">
        <w:rPr>
          <w:rFonts w:ascii="Times New Roman" w:hAnsi="Times New Roman" w:cs="Times New Roman"/>
          <w:i/>
          <w:iCs/>
        </w:rPr>
        <w:t>***400 word limit***</w:t>
      </w:r>
    </w:p>
    <w:p w14:paraId="50753E1D" w14:textId="77777777" w:rsidR="00D87197" w:rsidRDefault="00D87197" w:rsidP="00D87197">
      <w:pPr>
        <w:pStyle w:val="p1"/>
        <w:spacing w:before="0" w:beforeAutospacing="0" w:after="0" w:afterAutospacing="0"/>
        <w:rPr>
          <w:rStyle w:val="s1"/>
          <w:b/>
          <w:bCs/>
          <w:color w:val="000000"/>
          <w:u w:val="single"/>
        </w:rPr>
      </w:pPr>
    </w:p>
    <w:p w14:paraId="24B7DFE6" w14:textId="66226478" w:rsidR="00BA69BB" w:rsidRPr="00D87197" w:rsidRDefault="00BA69BB" w:rsidP="00D87197">
      <w:pPr>
        <w:pStyle w:val="p1"/>
        <w:spacing w:before="0" w:beforeAutospacing="0" w:after="0" w:afterAutospacing="0"/>
        <w:rPr>
          <w:b/>
          <w:bCs/>
          <w:color w:val="000000"/>
          <w:u w:val="single"/>
        </w:rPr>
      </w:pPr>
      <w:r w:rsidRPr="00BA69BB">
        <w:rPr>
          <w:rStyle w:val="s1"/>
          <w:b/>
          <w:bCs/>
          <w:color w:val="000000"/>
          <w:u w:val="single"/>
        </w:rPr>
        <w:t>Title:</w:t>
      </w:r>
      <w:r w:rsidRPr="00BA69BB">
        <w:rPr>
          <w:rStyle w:val="apple-converted-space"/>
          <w:b/>
          <w:bCs/>
          <w:color w:val="000000"/>
        </w:rPr>
        <w:t> </w:t>
      </w:r>
    </w:p>
    <w:p w14:paraId="7EF0DA20" w14:textId="5B0A466C" w:rsidR="00BA69BB" w:rsidRPr="00BA69BB" w:rsidRDefault="00BA69BB" w:rsidP="00BA69BB">
      <w:pPr>
        <w:pStyle w:val="p2"/>
        <w:spacing w:before="0" w:beforeAutospacing="0" w:after="0" w:afterAutospacing="0"/>
        <w:rPr>
          <w:color w:val="000000"/>
        </w:rPr>
      </w:pPr>
      <w:r w:rsidRPr="00BA69BB">
        <w:rPr>
          <w:color w:val="000000"/>
        </w:rPr>
        <w:t>P</w:t>
      </w:r>
      <w:commentRangeStart w:id="0"/>
      <w:r w:rsidRPr="00BA69BB">
        <w:rPr>
          <w:color w:val="000000"/>
        </w:rPr>
        <w:t>rognostic</w:t>
      </w:r>
      <w:commentRangeEnd w:id="0"/>
      <w:r w:rsidR="00EB0AC2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0"/>
      </w:r>
      <w:r w:rsidR="00EB0AC2">
        <w:rPr>
          <w:color w:val="000000"/>
        </w:rPr>
        <w:t xml:space="preserve"> value </w:t>
      </w:r>
      <w:r w:rsidRPr="00BA69BB">
        <w:rPr>
          <w:color w:val="000000"/>
        </w:rPr>
        <w:t xml:space="preserve">of hypercapnia by </w:t>
      </w:r>
      <w:r w:rsidR="00EB0AC2">
        <w:rPr>
          <w:color w:val="000000"/>
        </w:rPr>
        <w:t>ABG vs VBG</w:t>
      </w:r>
      <w:r w:rsidRPr="00BA69BB">
        <w:rPr>
          <w:color w:val="000000"/>
        </w:rPr>
        <w:t>: A</w:t>
      </w:r>
      <w:r w:rsidR="00EB0AC2">
        <w:rPr>
          <w:color w:val="000000"/>
        </w:rPr>
        <w:t xml:space="preserve"> propensity-weighted</w:t>
      </w:r>
      <w:r w:rsidRPr="00BA69BB">
        <w:rPr>
          <w:color w:val="000000"/>
        </w:rPr>
        <w:t xml:space="preserve">, multicenter </w:t>
      </w:r>
      <w:r w:rsidR="00EB0AC2">
        <w:rPr>
          <w:color w:val="000000"/>
        </w:rPr>
        <w:t>EHR cohort</w:t>
      </w:r>
    </w:p>
    <w:p w14:paraId="2E233C30" w14:textId="0B54616D" w:rsidR="00FA515A" w:rsidRDefault="00BA69BB" w:rsidP="00BA69BB">
      <w:pPr>
        <w:pStyle w:val="NormalWeb"/>
        <w:rPr>
          <w:color w:val="000000"/>
        </w:rPr>
      </w:pPr>
      <w:r w:rsidRPr="00BA69BB">
        <w:rPr>
          <w:rStyle w:val="Strong"/>
          <w:color w:val="000000"/>
          <w:u w:val="single"/>
        </w:rPr>
        <w:t>Rationale:</w:t>
      </w:r>
      <w:r>
        <w:rPr>
          <w:color w:val="000000"/>
        </w:rPr>
        <w:br/>
        <w:t xml:space="preserve">Arterial blood gases (ABGs) </w:t>
      </w:r>
      <w:r w:rsidR="00EB0AC2">
        <w:rPr>
          <w:color w:val="000000"/>
        </w:rPr>
        <w:t>remain</w:t>
      </w:r>
      <w:r>
        <w:rPr>
          <w:color w:val="000000"/>
        </w:rPr>
        <w:t xml:space="preserve"> the </w:t>
      </w:r>
      <w:r w:rsidR="00EB0AC2">
        <w:rPr>
          <w:color w:val="000000"/>
        </w:rPr>
        <w:t>reference test</w:t>
      </w:r>
      <w:r>
        <w:rPr>
          <w:color w:val="000000"/>
        </w:rPr>
        <w:t xml:space="preserve"> for hypercapnia but are invasive</w:t>
      </w:r>
      <w:r w:rsidR="00EB0AC2">
        <w:rPr>
          <w:color w:val="000000"/>
        </w:rPr>
        <w:t xml:space="preserve"> and difficult to obtain</w:t>
      </w:r>
      <w:r>
        <w:rPr>
          <w:color w:val="000000"/>
        </w:rPr>
        <w:t xml:space="preserve">. Venous blood gases (VBGs) </w:t>
      </w:r>
      <w:r w:rsidR="00AA3AF9">
        <w:rPr>
          <w:color w:val="000000"/>
        </w:rPr>
        <w:t>are</w:t>
      </w:r>
      <w:r w:rsidR="00EB0AC2">
        <w:rPr>
          <w:color w:val="000000"/>
        </w:rPr>
        <w:t xml:space="preserve"> less invasive</w:t>
      </w:r>
      <w:r w:rsidR="00AA3AF9">
        <w:rPr>
          <w:color w:val="000000"/>
        </w:rPr>
        <w:t xml:space="preserve"> </w:t>
      </w:r>
      <w:r w:rsidR="00EB0AC2">
        <w:rPr>
          <w:color w:val="000000"/>
        </w:rPr>
        <w:t>and more accessible</w:t>
      </w:r>
      <w:r w:rsidR="00AA3AF9">
        <w:rPr>
          <w:color w:val="000000"/>
        </w:rPr>
        <w:t>, yet</w:t>
      </w:r>
      <w:r w:rsidR="00334E35">
        <w:rPr>
          <w:color w:val="000000"/>
        </w:rPr>
        <w:t xml:space="preserve"> diagnostic and device qualification criteria do not </w:t>
      </w:r>
      <w:r w:rsidR="00EB0AC2">
        <w:rPr>
          <w:color w:val="000000"/>
        </w:rPr>
        <w:t>accept</w:t>
      </w:r>
      <w:r w:rsidR="00334E35">
        <w:rPr>
          <w:color w:val="000000"/>
        </w:rPr>
        <w:t xml:space="preserve"> VBG evidence.</w:t>
      </w:r>
      <w:r w:rsidR="00EB0AC2">
        <w:rPr>
          <w:color w:val="000000"/>
        </w:rPr>
        <w:t xml:space="preserve"> To address this gap, we compared prognostic </w:t>
      </w:r>
      <w:r w:rsidR="00AA3AF9">
        <w:rPr>
          <w:color w:val="000000"/>
        </w:rPr>
        <w:t xml:space="preserve">associations of </w:t>
      </w:r>
      <w:r w:rsidR="00FA515A">
        <w:rPr>
          <w:color w:val="000000"/>
        </w:rPr>
        <w:t xml:space="preserve">hypercapnia </w:t>
      </w:r>
      <w:r w:rsidR="00AA3AF9">
        <w:rPr>
          <w:color w:val="000000"/>
        </w:rPr>
        <w:t xml:space="preserve">measured </w:t>
      </w:r>
      <w:r w:rsidR="00FA515A">
        <w:rPr>
          <w:color w:val="000000"/>
        </w:rPr>
        <w:t xml:space="preserve">by ABG and VBG with </w:t>
      </w:r>
      <w:r w:rsidR="00EB0AC2">
        <w:rPr>
          <w:color w:val="000000"/>
        </w:rPr>
        <w:t xml:space="preserve">ventilator support </w:t>
      </w:r>
      <w:r w:rsidR="00FA515A">
        <w:rPr>
          <w:color w:val="000000"/>
        </w:rPr>
        <w:t>and 60-day mortality, adjusting for</w:t>
      </w:r>
      <w:r w:rsidR="00EB0AC2">
        <w:rPr>
          <w:color w:val="000000"/>
        </w:rPr>
        <w:t xml:space="preserve"> the likelihood of </w:t>
      </w:r>
      <w:r w:rsidR="00FA515A">
        <w:rPr>
          <w:color w:val="000000"/>
        </w:rPr>
        <w:t>each t</w:t>
      </w:r>
      <w:r w:rsidR="00EB0AC2">
        <w:rPr>
          <w:color w:val="000000"/>
        </w:rPr>
        <w:t>est being ordered</w:t>
      </w:r>
      <w:r w:rsidR="00FA515A">
        <w:rPr>
          <w:color w:val="000000"/>
        </w:rPr>
        <w:t xml:space="preserve">. </w:t>
      </w:r>
      <w:commentRangeStart w:id="1"/>
      <w:r w:rsidR="00334E35">
        <w:rPr>
          <w:color w:val="000000"/>
        </w:rPr>
        <w:t>If</w:t>
      </w:r>
      <w:r w:rsidR="00EB0AC2">
        <w:rPr>
          <w:color w:val="000000"/>
        </w:rPr>
        <w:t xml:space="preserve"> VBG</w:t>
      </w:r>
      <w:commentRangeEnd w:id="1"/>
      <w:r w:rsidR="00732D32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"/>
      </w:r>
      <w:r w:rsidR="00EB0AC2">
        <w:rPr>
          <w:color w:val="000000"/>
        </w:rPr>
        <w:t>-identified</w:t>
      </w:r>
      <w:r w:rsidR="00334E35">
        <w:rPr>
          <w:color w:val="000000"/>
        </w:rPr>
        <w:t xml:space="preserve"> hypercapnia </w:t>
      </w:r>
      <w:r w:rsidR="00EB0AC2">
        <w:rPr>
          <w:color w:val="000000"/>
        </w:rPr>
        <w:t>predicts outcomes similarly to ABG, it would justify integrating VBG criteria into diagnostic criteria and clinical decision-making.</w:t>
      </w:r>
      <w:r w:rsidR="00334E35">
        <w:rPr>
          <w:color w:val="000000"/>
        </w:rPr>
        <w:t xml:space="preserve">  </w:t>
      </w:r>
    </w:p>
    <w:p w14:paraId="628710E9" w14:textId="2AB398EE" w:rsidR="00BA69BB" w:rsidRDefault="00BA69BB" w:rsidP="00BA69BB">
      <w:pPr>
        <w:pStyle w:val="NormalWeb"/>
        <w:rPr>
          <w:color w:val="000000"/>
        </w:rPr>
      </w:pPr>
      <w:commentRangeStart w:id="2"/>
      <w:r w:rsidRPr="00BA69BB">
        <w:rPr>
          <w:rStyle w:val="Strong"/>
          <w:color w:val="000000"/>
          <w:u w:val="single"/>
        </w:rPr>
        <w:t>Methods:</w:t>
      </w:r>
      <w:commentRangeEnd w:id="2"/>
      <w:r w:rsidR="00732D32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"/>
      </w:r>
      <w:r>
        <w:rPr>
          <w:color w:val="000000"/>
        </w:rPr>
        <w:br/>
      </w:r>
      <w:r w:rsidR="00732D32">
        <w:rPr>
          <w:color w:val="000000"/>
        </w:rPr>
        <w:t>We conducted a</w:t>
      </w:r>
      <w:r w:rsidR="00FA515A">
        <w:rPr>
          <w:color w:val="000000"/>
        </w:rPr>
        <w:t xml:space="preserve"> multicenter retrospective study using the TriNetX research network</w:t>
      </w:r>
      <w:r w:rsidR="00732D32">
        <w:rPr>
          <w:color w:val="000000"/>
        </w:rPr>
        <w:t xml:space="preserve">, including </w:t>
      </w:r>
      <w:r w:rsidR="00FA515A">
        <w:rPr>
          <w:color w:val="000000"/>
        </w:rPr>
        <w:t xml:space="preserve"> </w:t>
      </w:r>
      <w:r w:rsidR="00732D32">
        <w:rPr>
          <w:color w:val="000000"/>
        </w:rPr>
        <w:t>a</w:t>
      </w:r>
      <w:r>
        <w:rPr>
          <w:color w:val="000000"/>
        </w:rPr>
        <w:t>dult patients</w:t>
      </w:r>
      <w:r w:rsidR="00732D32">
        <w:rPr>
          <w:color w:val="000000"/>
        </w:rPr>
        <w:t xml:space="preserve"> presenting to the ED or admitted to the hospital with a presentation indicating possible </w:t>
      </w:r>
      <w:r>
        <w:rPr>
          <w:color w:val="000000"/>
        </w:rPr>
        <w:t>hypercapnia</w:t>
      </w:r>
      <w:r w:rsidR="00732D32">
        <w:rPr>
          <w:color w:val="000000"/>
        </w:rPr>
        <w:t xml:space="preserve"> (at least 1 factor that should trigger consideration)</w:t>
      </w:r>
      <w:r w:rsidR="00570C22">
        <w:rPr>
          <w:color w:val="000000"/>
        </w:rPr>
        <w:t xml:space="preserve"> </w:t>
      </w:r>
      <w:r w:rsidR="00732D32">
        <w:rPr>
          <w:color w:val="000000"/>
        </w:rPr>
        <w:t>during calendar year 2022</w:t>
      </w:r>
      <w:r>
        <w:rPr>
          <w:color w:val="000000"/>
        </w:rPr>
        <w:t xml:space="preserve">. </w:t>
      </w:r>
      <w:r w:rsidR="00732D32">
        <w:rPr>
          <w:color w:val="000000"/>
        </w:rPr>
        <w:t>The exposure was pCO</w:t>
      </w:r>
      <w:r w:rsidR="00732D32" w:rsidRPr="003B5E8F">
        <w:rPr>
          <w:color w:val="000000"/>
          <w:vertAlign w:val="subscript"/>
        </w:rPr>
        <w:t>2</w:t>
      </w:r>
      <w:r w:rsidR="00732D32">
        <w:rPr>
          <w:color w:val="000000"/>
        </w:rPr>
        <w:t xml:space="preserve"> measured by ABG and VBG, represented using restricted cubic splines. To mitigate confounding by test selection, we trained gradient-boosted models on encounter-type, demographics, comorbidities, triage vital signs, and labs to derive stabilized inverse propensity-of-sampling weights. </w:t>
      </w:r>
      <w:r>
        <w:rPr>
          <w:color w:val="000000"/>
        </w:rPr>
        <w:t xml:space="preserve">Outcomes </w:t>
      </w:r>
      <w:r w:rsidR="00732D32">
        <w:rPr>
          <w:color w:val="000000"/>
        </w:rPr>
        <w:t>were</w:t>
      </w:r>
      <w:r w:rsidR="00570C22">
        <w:rPr>
          <w:color w:val="000000"/>
        </w:rPr>
        <w:t xml:space="preserve"> within-encounter</w:t>
      </w:r>
      <w:r>
        <w:rPr>
          <w:color w:val="000000"/>
        </w:rPr>
        <w:t xml:space="preserve"> diagnosis </w:t>
      </w:r>
      <w:r w:rsidR="00334E35">
        <w:rPr>
          <w:color w:val="000000"/>
        </w:rPr>
        <w:t>code for</w:t>
      </w:r>
      <w:r>
        <w:rPr>
          <w:color w:val="000000"/>
        </w:rPr>
        <w:t xml:space="preserve"> hypercapnic respiratory failure, </w:t>
      </w:r>
      <w:r w:rsidR="00570C22">
        <w:rPr>
          <w:color w:val="000000"/>
        </w:rPr>
        <w:t xml:space="preserve">within-encounter </w:t>
      </w:r>
      <w:r w:rsidR="00334E35">
        <w:rPr>
          <w:color w:val="000000"/>
        </w:rPr>
        <w:t>procedure code</w:t>
      </w:r>
      <w:r w:rsidR="00732D32">
        <w:rPr>
          <w:color w:val="000000"/>
        </w:rPr>
        <w:t>s</w:t>
      </w:r>
      <w:r w:rsidR="00334E35">
        <w:rPr>
          <w:color w:val="000000"/>
        </w:rPr>
        <w:t xml:space="preserve"> for</w:t>
      </w:r>
      <w:r>
        <w:rPr>
          <w:color w:val="000000"/>
        </w:rPr>
        <w:t xml:space="preserve"> </w:t>
      </w:r>
      <w:r w:rsidR="00006BEB">
        <w:rPr>
          <w:color w:val="000000"/>
        </w:rPr>
        <w:t>NIV or IMV</w:t>
      </w:r>
      <w:r>
        <w:rPr>
          <w:color w:val="000000"/>
        </w:rPr>
        <w:t>, and 60-day all-cause mortality</w:t>
      </w:r>
      <w:r w:rsidR="00732D32">
        <w:rPr>
          <w:color w:val="000000"/>
        </w:rPr>
        <w:t xml:space="preserve">. </w:t>
      </w:r>
      <w:r>
        <w:rPr>
          <w:color w:val="000000"/>
        </w:rPr>
        <w:t xml:space="preserve">Associations </w:t>
      </w:r>
      <w:r w:rsidR="00006BEB">
        <w:rPr>
          <w:color w:val="000000"/>
        </w:rPr>
        <w:t>between</w:t>
      </w:r>
      <w:r>
        <w:rPr>
          <w:color w:val="000000"/>
        </w:rPr>
        <w:t xml:space="preserve"> pCO₂ </w:t>
      </w:r>
      <w:r w:rsidR="00006BEB">
        <w:rPr>
          <w:color w:val="000000"/>
        </w:rPr>
        <w:t>and</w:t>
      </w:r>
      <w:r>
        <w:rPr>
          <w:color w:val="000000"/>
        </w:rPr>
        <w:t xml:space="preserve"> </w:t>
      </w:r>
      <w:r w:rsidR="00570C22">
        <w:rPr>
          <w:color w:val="000000"/>
        </w:rPr>
        <w:t xml:space="preserve">each </w:t>
      </w:r>
      <w:r>
        <w:rPr>
          <w:color w:val="000000"/>
        </w:rPr>
        <w:t xml:space="preserve">outcome were examined using </w:t>
      </w:r>
      <w:r w:rsidR="00732D32">
        <w:rPr>
          <w:color w:val="000000"/>
        </w:rPr>
        <w:t xml:space="preserve">weighted </w:t>
      </w:r>
      <w:r>
        <w:rPr>
          <w:color w:val="000000"/>
        </w:rPr>
        <w:t>logistic regression.</w:t>
      </w:r>
    </w:p>
    <w:p w14:paraId="1DE3FC0F" w14:textId="1EF47F49" w:rsidR="009A41F4" w:rsidRDefault="00BA69BB" w:rsidP="00BA69BB">
      <w:pPr>
        <w:pStyle w:val="NormalWeb"/>
        <w:rPr>
          <w:ins w:id="3" w:author="Anila Mehta" w:date="2025-10-14T01:59:00Z"/>
          <w:color w:val="000000"/>
        </w:rPr>
      </w:pPr>
      <w:r w:rsidRPr="00BA69BB">
        <w:rPr>
          <w:rStyle w:val="Strong"/>
          <w:color w:val="000000"/>
          <w:u w:val="single"/>
        </w:rPr>
        <w:t>Results:</w:t>
      </w:r>
      <w:r>
        <w:rPr>
          <w:color w:val="000000"/>
        </w:rPr>
        <w:br/>
      </w:r>
      <w:r w:rsidR="00732D32">
        <w:rPr>
          <w:color w:val="000000"/>
        </w:rPr>
        <w:t>We identified a</w:t>
      </w:r>
      <w:r>
        <w:rPr>
          <w:color w:val="000000"/>
        </w:rPr>
        <w:t xml:space="preserve"> total of </w:t>
      </w:r>
      <w:del w:id="4" w:author="Anila Mehta" w:date="2025-10-14T01:31:00Z">
        <w:r w:rsidDel="00560826">
          <w:rPr>
            <w:color w:val="000000"/>
          </w:rPr>
          <w:delText xml:space="preserve">*** </w:delText>
        </w:r>
      </w:del>
      <w:ins w:id="5" w:author="Anila Mehta" w:date="2025-10-14T01:31:00Z">
        <w:r w:rsidR="00560826">
          <w:rPr>
            <w:color w:val="000000"/>
          </w:rPr>
          <w:t>515,286</w:t>
        </w:r>
        <w:r w:rsidR="00560826">
          <w:rPr>
            <w:color w:val="000000"/>
          </w:rPr>
          <w:t xml:space="preserve"> </w:t>
        </w:r>
      </w:ins>
      <w:r>
        <w:rPr>
          <w:color w:val="000000"/>
        </w:rPr>
        <w:t>patients</w:t>
      </w:r>
      <w:r w:rsidR="00732D32">
        <w:rPr>
          <w:color w:val="000000"/>
        </w:rPr>
        <w:t xml:space="preserve"> </w:t>
      </w:r>
      <w:del w:id="6" w:author="Anila Mehta" w:date="2025-10-14T02:21:00Z">
        <w:r w:rsidR="00732D32" w:rsidDel="00264F6B">
          <w:rPr>
            <w:color w:val="000000"/>
          </w:rPr>
          <w:delText xml:space="preserve">from </w:delText>
        </w:r>
      </w:del>
      <w:ins w:id="7" w:author="Anila Mehta" w:date="2025-10-14T02:21:00Z">
        <w:r w:rsidR="00264F6B">
          <w:rPr>
            <w:color w:val="000000"/>
          </w:rPr>
          <w:t>across</w:t>
        </w:r>
        <w:r w:rsidR="00264F6B">
          <w:rPr>
            <w:color w:val="000000"/>
          </w:rPr>
          <w:t xml:space="preserve"> </w:t>
        </w:r>
      </w:ins>
      <w:r w:rsidR="00732D32">
        <w:rPr>
          <w:color w:val="000000"/>
        </w:rPr>
        <w:t>107</w:t>
      </w:r>
      <w:r w:rsidR="00E152C9">
        <w:rPr>
          <w:color w:val="000000"/>
        </w:rPr>
        <w:t xml:space="preserve"> health systems; </w:t>
      </w:r>
      <w:del w:id="8" w:author="Anila Mehta" w:date="2025-10-14T01:31:00Z">
        <w:r w:rsidDel="00567668">
          <w:rPr>
            <w:color w:val="000000"/>
          </w:rPr>
          <w:delText xml:space="preserve">*** </w:delText>
        </w:r>
      </w:del>
      <w:ins w:id="9" w:author="Anila Mehta" w:date="2025-10-14T01:31:00Z">
        <w:r w:rsidR="00567668">
          <w:rPr>
            <w:color w:val="000000"/>
          </w:rPr>
          <w:t>187,242</w:t>
        </w:r>
        <w:r w:rsidR="00567668">
          <w:rPr>
            <w:color w:val="000000"/>
          </w:rPr>
          <w:t xml:space="preserve"> </w:t>
        </w:r>
      </w:ins>
      <w:r w:rsidR="00E152C9">
        <w:rPr>
          <w:color w:val="000000"/>
        </w:rPr>
        <w:t xml:space="preserve">had a </w:t>
      </w:r>
      <w:ins w:id="10" w:author="Anila Mehta" w:date="2025-10-14T02:21:00Z">
        <w:r w:rsidR="00264F6B">
          <w:rPr>
            <w:color w:val="000000"/>
          </w:rPr>
          <w:t xml:space="preserve">first </w:t>
        </w:r>
      </w:ins>
      <w:del w:id="11" w:author="Anila Mehta" w:date="2025-10-14T02:21:00Z">
        <w:r w:rsidR="00E152C9" w:rsidDel="00264F6B">
          <w:rPr>
            <w:color w:val="000000"/>
          </w:rPr>
          <w:delText>1</w:delText>
        </w:r>
        <w:r w:rsidR="00E152C9" w:rsidRPr="003B5E8F" w:rsidDel="00264F6B">
          <w:rPr>
            <w:color w:val="000000"/>
            <w:vertAlign w:val="superscript"/>
          </w:rPr>
          <w:delText>st</w:delText>
        </w:r>
        <w:r w:rsidR="00E152C9" w:rsidDel="00264F6B">
          <w:rPr>
            <w:color w:val="000000"/>
          </w:rPr>
          <w:delText xml:space="preserve"> </w:delText>
        </w:r>
      </w:del>
      <w:r w:rsidR="00E152C9">
        <w:rPr>
          <w:color w:val="000000"/>
        </w:rPr>
        <w:t>calendar-day</w:t>
      </w:r>
      <w:r>
        <w:rPr>
          <w:color w:val="000000"/>
        </w:rPr>
        <w:t xml:space="preserve"> ABG and </w:t>
      </w:r>
      <w:del w:id="12" w:author="Anila Mehta" w:date="2025-10-14T01:31:00Z">
        <w:r w:rsidDel="00567668">
          <w:rPr>
            <w:color w:val="000000"/>
          </w:rPr>
          <w:delText xml:space="preserve">*** </w:delText>
        </w:r>
      </w:del>
      <w:ins w:id="13" w:author="Anila Mehta" w:date="2025-10-14T01:31:00Z">
        <w:r w:rsidR="00567668">
          <w:rPr>
            <w:color w:val="000000"/>
          </w:rPr>
          <w:t>149,663</w:t>
        </w:r>
        <w:r w:rsidR="00567668">
          <w:rPr>
            <w:color w:val="000000"/>
          </w:rPr>
          <w:t xml:space="preserve"> </w:t>
        </w:r>
      </w:ins>
      <w:r w:rsidR="00E152C9">
        <w:rPr>
          <w:color w:val="000000"/>
        </w:rPr>
        <w:t>had a</w:t>
      </w:r>
      <w:r>
        <w:rPr>
          <w:color w:val="000000"/>
        </w:rPr>
        <w:t xml:space="preserve"> VBG</w:t>
      </w:r>
      <w:r w:rsidR="00E152C9">
        <w:rPr>
          <w:color w:val="000000"/>
        </w:rPr>
        <w:t xml:space="preserve"> documented</w:t>
      </w:r>
      <w:r>
        <w:rPr>
          <w:color w:val="000000"/>
        </w:rPr>
        <w:t>.</w:t>
      </w:r>
      <w:r w:rsidR="009F76B7">
        <w:rPr>
          <w:color w:val="000000"/>
        </w:rPr>
        <w:t xml:space="preserve"> </w:t>
      </w:r>
      <w:r w:rsidR="00E152C9">
        <w:rPr>
          <w:color w:val="000000"/>
        </w:rPr>
        <w:t xml:space="preserve">Before weighting, ABGs were more commonly obtained in </w:t>
      </w:r>
      <w:del w:id="14" w:author="Anila Mehta" w:date="2025-10-14T01:52:00Z">
        <w:r w:rsidR="00E152C9" w:rsidDel="00603486">
          <w:rPr>
            <w:color w:val="000000"/>
          </w:rPr>
          <w:delText xml:space="preserve">*** </w:delText>
        </w:r>
      </w:del>
      <w:ins w:id="15" w:author="Anila Mehta" w:date="2025-10-14T01:52:00Z">
        <w:r w:rsidR="00603486">
          <w:rPr>
            <w:color w:val="000000"/>
          </w:rPr>
          <w:t xml:space="preserve">inpatient </w:t>
        </w:r>
      </w:ins>
      <w:ins w:id="16" w:author="Anila Mehta" w:date="2025-10-14T01:53:00Z">
        <w:r w:rsidR="00603486">
          <w:rPr>
            <w:color w:val="000000"/>
          </w:rPr>
          <w:t xml:space="preserve">setting </w:t>
        </w:r>
      </w:ins>
      <w:ins w:id="17" w:author="Anila Mehta" w:date="2025-10-14T01:52:00Z">
        <w:r w:rsidR="00603486">
          <w:rPr>
            <w:color w:val="000000"/>
          </w:rPr>
          <w:t>with 17% absolute difference</w:t>
        </w:r>
      </w:ins>
      <w:del w:id="18" w:author="Anila Mehta" w:date="2025-10-14T02:22:00Z">
        <w:r w:rsidR="00E152C9" w:rsidDel="00264F6B">
          <w:rPr>
            <w:color w:val="000000"/>
          </w:rPr>
          <w:delText>[abs difference]</w:delText>
        </w:r>
      </w:del>
      <w:ins w:id="19" w:author="Anila Mehta" w:date="2025-10-14T02:22:00Z">
        <w:r w:rsidR="00264F6B">
          <w:rPr>
            <w:color w:val="000000"/>
          </w:rPr>
          <w:t xml:space="preserve">. </w:t>
        </w:r>
      </w:ins>
      <w:del w:id="20" w:author="Anila Mehta" w:date="2025-10-14T02:22:00Z">
        <w:r w:rsidR="00E152C9" w:rsidDel="00264F6B">
          <w:rPr>
            <w:color w:val="000000"/>
          </w:rPr>
          <w:delText xml:space="preserve"> and *** [difference in comorbidities]) </w:delText>
        </w:r>
      </w:del>
      <w:r>
        <w:rPr>
          <w:color w:val="000000"/>
        </w:rPr>
        <w:t xml:space="preserve">After propensity weighting, covariate balance </w:t>
      </w:r>
      <w:r w:rsidR="00E152C9">
        <w:rPr>
          <w:color w:val="000000"/>
        </w:rPr>
        <w:t xml:space="preserve">improved. </w:t>
      </w:r>
      <w:r w:rsidR="00AA3AF9">
        <w:rPr>
          <w:color w:val="000000"/>
        </w:rPr>
        <w:t xml:space="preserve">Figure 1 </w:t>
      </w:r>
      <w:r w:rsidR="00006BEB">
        <w:rPr>
          <w:color w:val="000000"/>
        </w:rPr>
        <w:t>displays</w:t>
      </w:r>
      <w:ins w:id="21" w:author="Anila Mehta" w:date="2025-10-14T01:55:00Z">
        <w:r w:rsidR="00603486">
          <w:rPr>
            <w:color w:val="000000"/>
          </w:rPr>
          <w:t xml:space="preserve"> the </w:t>
        </w:r>
      </w:ins>
      <w:ins w:id="22" w:author="Anila Mehta" w:date="2025-10-14T02:22:00Z">
        <w:r w:rsidR="003226AE">
          <w:rPr>
            <w:color w:val="000000"/>
          </w:rPr>
          <w:t xml:space="preserve">weighted </w:t>
        </w:r>
      </w:ins>
      <w:ins w:id="23" w:author="Anila Mehta" w:date="2025-10-14T01:55:00Z">
        <w:r w:rsidR="00603486">
          <w:rPr>
            <w:color w:val="000000"/>
          </w:rPr>
          <w:t>odds ratios of outcomes categorized by PCO</w:t>
        </w:r>
        <w:r w:rsidR="00603486" w:rsidRPr="003226AE">
          <w:rPr>
            <w:color w:val="000000"/>
            <w:vertAlign w:val="subscript"/>
            <w:rPrChange w:id="24" w:author="Anila Mehta" w:date="2025-10-14T02:22:00Z">
              <w:rPr>
                <w:color w:val="000000"/>
              </w:rPr>
            </w:rPrChange>
          </w:rPr>
          <w:t>2</w:t>
        </w:r>
        <w:r w:rsidR="00603486">
          <w:rPr>
            <w:color w:val="000000"/>
          </w:rPr>
          <w:t xml:space="preserve"> level </w:t>
        </w:r>
      </w:ins>
      <w:ins w:id="25" w:author="Anila Mehta" w:date="2025-10-14T02:22:00Z">
        <w:r w:rsidR="003226AE">
          <w:rPr>
            <w:color w:val="000000"/>
          </w:rPr>
          <w:t>(</w:t>
        </w:r>
      </w:ins>
      <w:ins w:id="26" w:author="Anila Mehta" w:date="2025-10-14T01:55:00Z">
        <w:r w:rsidR="00603486">
          <w:rPr>
            <w:color w:val="000000"/>
          </w:rPr>
          <w:t xml:space="preserve">below </w:t>
        </w:r>
      </w:ins>
      <w:ins w:id="27" w:author="Anila Mehta" w:date="2025-10-14T02:22:00Z">
        <w:r w:rsidR="003226AE">
          <w:rPr>
            <w:color w:val="000000"/>
          </w:rPr>
          <w:t>vs.</w:t>
        </w:r>
      </w:ins>
      <w:ins w:id="28" w:author="Anila Mehta" w:date="2025-10-14T01:55:00Z">
        <w:r w:rsidR="00603486">
          <w:rPr>
            <w:color w:val="000000"/>
          </w:rPr>
          <w:t xml:space="preserve"> above normal</w:t>
        </w:r>
      </w:ins>
      <w:ins w:id="29" w:author="Anila Mehta" w:date="2025-10-14T02:22:00Z">
        <w:r w:rsidR="003226AE">
          <w:rPr>
            <w:color w:val="000000"/>
          </w:rPr>
          <w:t>)</w:t>
        </w:r>
      </w:ins>
      <w:ins w:id="30" w:author="Anila Mehta" w:date="2025-10-14T01:55:00Z">
        <w:r w:rsidR="00603486">
          <w:rPr>
            <w:color w:val="000000"/>
          </w:rPr>
          <w:t xml:space="preserve"> for </w:t>
        </w:r>
      </w:ins>
      <w:ins w:id="31" w:author="Anila Mehta" w:date="2025-10-14T02:22:00Z">
        <w:r w:rsidR="003226AE">
          <w:rPr>
            <w:color w:val="000000"/>
          </w:rPr>
          <w:t>A</w:t>
        </w:r>
      </w:ins>
      <w:ins w:id="32" w:author="Anila Mehta" w:date="2025-10-14T01:55:00Z">
        <w:r w:rsidR="00603486">
          <w:rPr>
            <w:color w:val="000000"/>
          </w:rPr>
          <w:t xml:space="preserve">BG and </w:t>
        </w:r>
      </w:ins>
      <w:ins w:id="33" w:author="Anila Mehta" w:date="2025-10-14T02:23:00Z">
        <w:r w:rsidR="003226AE">
          <w:rPr>
            <w:color w:val="000000"/>
          </w:rPr>
          <w:t>V</w:t>
        </w:r>
      </w:ins>
      <w:ins w:id="34" w:author="Anila Mehta" w:date="2025-10-14T01:55:00Z">
        <w:r w:rsidR="00603486">
          <w:rPr>
            <w:color w:val="000000"/>
          </w:rPr>
          <w:t>BG groups.</w:t>
        </w:r>
      </w:ins>
      <w:r w:rsidR="00AA3AF9">
        <w:rPr>
          <w:color w:val="000000"/>
        </w:rPr>
        <w:t xml:space="preserve"> </w:t>
      </w:r>
      <w:ins w:id="35" w:author="Anila Mehta" w:date="2025-10-14T02:17:00Z">
        <w:r w:rsidR="00264F6B">
          <w:rPr>
            <w:color w:val="000000"/>
          </w:rPr>
          <w:t>Hypercapnia in ABG and VBG groups</w:t>
        </w:r>
      </w:ins>
      <w:ins w:id="36" w:author="Anila Mehta" w:date="2025-10-14T02:12:00Z">
        <w:r w:rsidR="00264F6B">
          <w:rPr>
            <w:color w:val="000000"/>
          </w:rPr>
          <w:t xml:space="preserve"> was associated with increased odds of NIV and diagnosis of hypercapnic res</w:t>
        </w:r>
      </w:ins>
      <w:ins w:id="37" w:author="Anila Mehta" w:date="2025-10-14T02:13:00Z">
        <w:r w:rsidR="00264F6B">
          <w:rPr>
            <w:color w:val="000000"/>
          </w:rPr>
          <w:t xml:space="preserve">piratory failure. </w:t>
        </w:r>
      </w:ins>
      <w:ins w:id="38" w:author="Anila Mehta" w:date="2025-10-14T02:23:00Z">
        <w:r w:rsidR="003226AE">
          <w:rPr>
            <w:color w:val="000000"/>
          </w:rPr>
          <w:t xml:space="preserve">Compared with ABG, the </w:t>
        </w:r>
      </w:ins>
      <w:ins w:id="39" w:author="Anila Mehta" w:date="2025-10-14T02:14:00Z">
        <w:r w:rsidR="00264F6B">
          <w:rPr>
            <w:color w:val="000000"/>
          </w:rPr>
          <w:t xml:space="preserve">VBG </w:t>
        </w:r>
      </w:ins>
      <w:ins w:id="40" w:author="Anila Mehta" w:date="2025-10-14T02:23:00Z">
        <w:r w:rsidR="003226AE">
          <w:rPr>
            <w:color w:val="000000"/>
          </w:rPr>
          <w:t>group showed</w:t>
        </w:r>
      </w:ins>
      <w:ins w:id="41" w:author="Anila Mehta" w:date="2025-10-14T02:17:00Z">
        <w:r w:rsidR="00264F6B">
          <w:rPr>
            <w:color w:val="000000"/>
          </w:rPr>
          <w:t xml:space="preserve"> significantly higher odds </w:t>
        </w:r>
      </w:ins>
      <w:ins w:id="42" w:author="Anila Mehta" w:date="2025-10-14T02:23:00Z">
        <w:r w:rsidR="003226AE">
          <w:rPr>
            <w:color w:val="000000"/>
          </w:rPr>
          <w:t>for hypercapnic respiratory failure, NIV and IMV. Among hypercapnic patients, mortalit</w:t>
        </w:r>
      </w:ins>
      <w:ins w:id="43" w:author="Anila Mehta" w:date="2025-10-14T02:24:00Z">
        <w:r w:rsidR="003226AE">
          <w:rPr>
            <w:color w:val="000000"/>
          </w:rPr>
          <w:t xml:space="preserve">y did not significantly differ between the VBG and ABG groups. </w:t>
        </w:r>
      </w:ins>
      <w:ins w:id="44" w:author="Anila Mehta" w:date="2025-10-14T02:18:00Z">
        <w:r w:rsidR="00264F6B">
          <w:rPr>
            <w:color w:val="000000"/>
          </w:rPr>
          <w:t xml:space="preserve"> </w:t>
        </w:r>
      </w:ins>
      <w:ins w:id="45" w:author="Anila Mehta" w:date="2025-10-14T02:15:00Z">
        <w:r w:rsidR="00264F6B">
          <w:rPr>
            <w:color w:val="000000"/>
          </w:rPr>
          <w:t xml:space="preserve"> </w:t>
        </w:r>
      </w:ins>
    </w:p>
    <w:p w14:paraId="78EAA4E2" w14:textId="584EE7A6" w:rsidR="00AA3AF9" w:rsidDel="00264F6B" w:rsidRDefault="00AA3AF9" w:rsidP="00BA69BB">
      <w:pPr>
        <w:pStyle w:val="NormalWeb"/>
        <w:rPr>
          <w:del w:id="46" w:author="Anila Mehta" w:date="2025-10-14T02:18:00Z"/>
          <w:color w:val="000000"/>
        </w:rPr>
      </w:pPr>
      <w:del w:id="47" w:author="Anila Mehta" w:date="2025-10-14T01:55:00Z">
        <w:r w:rsidDel="00603486">
          <w:rPr>
            <w:color w:val="000000"/>
          </w:rPr>
          <w:delText xml:space="preserve">the continuous relationship between pCO₂ </w:delText>
        </w:r>
        <w:r w:rsidR="00006BEB" w:rsidDel="00603486">
          <w:rPr>
            <w:color w:val="000000"/>
          </w:rPr>
          <w:delText xml:space="preserve">and outcomes for </w:delText>
        </w:r>
        <w:r w:rsidDel="00603486">
          <w:rPr>
            <w:color w:val="000000"/>
          </w:rPr>
          <w:delText>VBG and AB</w:delText>
        </w:r>
        <w:r w:rsidR="00006BEB" w:rsidDel="00603486">
          <w:rPr>
            <w:color w:val="000000"/>
          </w:rPr>
          <w:delText>G</w:delText>
        </w:r>
        <w:r w:rsidDel="00603486">
          <w:rPr>
            <w:color w:val="000000"/>
          </w:rPr>
          <w:delText xml:space="preserve">. </w:delText>
        </w:r>
      </w:del>
      <w:del w:id="48" w:author="Anila Mehta" w:date="2025-10-14T02:18:00Z">
        <w:r w:rsidDel="00264F6B">
          <w:rPr>
            <w:color w:val="000000"/>
          </w:rPr>
          <w:delText xml:space="preserve">ABG and VBG had comparable predicted probability for non-invasive ventilation, invasive mechanical ventilation and 60-day mortality. However, </w:delText>
        </w:r>
        <w:r w:rsidR="009F76B7" w:rsidDel="00264F6B">
          <w:rPr>
            <w:color w:val="000000"/>
          </w:rPr>
          <w:delText xml:space="preserve">diagnosis of </w:delText>
        </w:r>
        <w:r w:rsidDel="00264F6B">
          <w:rPr>
            <w:color w:val="000000"/>
          </w:rPr>
          <w:delText>hypercapnic respiratory failure had higher likelihood of being diagnosed for VBG group compared to ABG group</w:delText>
        </w:r>
        <w:r w:rsidR="00570C22" w:rsidDel="00264F6B">
          <w:rPr>
            <w:color w:val="000000"/>
          </w:rPr>
          <w:delText>, after controlling for differential test ordering patterns</w:delText>
        </w:r>
        <w:r w:rsidDel="00264F6B">
          <w:rPr>
            <w:color w:val="000000"/>
          </w:rPr>
          <w:delText xml:space="preserve">. </w:delText>
        </w:r>
      </w:del>
    </w:p>
    <w:p w14:paraId="775E2B15" w14:textId="321646A6" w:rsidR="00E152C9" w:rsidRDefault="00AA3AF9" w:rsidP="00E152C9">
      <w:pPr>
        <w:pStyle w:val="NormalWeb"/>
        <w:rPr>
          <w:ins w:id="49" w:author="Anila Mehta" w:date="2025-10-14T01:50:00Z"/>
          <w:i/>
          <w:iCs/>
          <w:color w:val="000000"/>
        </w:rPr>
      </w:pPr>
      <w:del w:id="50" w:author="Anila Mehta" w:date="2025-10-14T01:32:00Z">
        <w:r w:rsidRPr="00AA3AF9" w:rsidDel="00567668">
          <w:rPr>
            <w:i/>
            <w:iCs/>
            <w:color w:val="000000"/>
          </w:rPr>
          <w:delText xml:space="preserve">*will submit </w:delText>
        </w:r>
      </w:del>
      <w:r w:rsidRPr="00AA3AF9">
        <w:rPr>
          <w:i/>
          <w:iCs/>
          <w:color w:val="000000"/>
        </w:rPr>
        <w:t>Figure 1 –</w:t>
      </w:r>
      <w:del w:id="51" w:author="Anila Mehta" w:date="2025-10-14T01:50:00Z">
        <w:r w:rsidRPr="00AA3AF9" w:rsidDel="00567668">
          <w:rPr>
            <w:i/>
            <w:iCs/>
            <w:color w:val="000000"/>
          </w:rPr>
          <w:delText xml:space="preserve"> </w:delText>
        </w:r>
        <w:r w:rsidR="00E152C9" w:rsidRPr="00E152C9" w:rsidDel="00567668">
          <w:rPr>
            <w:i/>
            <w:iCs/>
            <w:color w:val="000000"/>
          </w:rPr>
          <w:delText>Spline-modeled predicted risk vs pCO₂ for ABG and VBG (2nd–98th percentile range).</w:delText>
        </w:r>
      </w:del>
      <w:ins w:id="52" w:author="Anila Mehta" w:date="2025-10-14T01:50:00Z">
        <w:r w:rsidR="00567668">
          <w:rPr>
            <w:i/>
            <w:iCs/>
            <w:color w:val="000000"/>
          </w:rPr>
          <w:t xml:space="preserve"> Weight Odds Ratios of </w:t>
        </w:r>
        <w:r w:rsidR="00603486">
          <w:rPr>
            <w:i/>
            <w:iCs/>
            <w:color w:val="000000"/>
          </w:rPr>
          <w:t>Outcomes by PCO</w:t>
        </w:r>
        <w:r w:rsidR="00603486" w:rsidRPr="00603486">
          <w:rPr>
            <w:i/>
            <w:iCs/>
            <w:color w:val="000000"/>
            <w:vertAlign w:val="subscript"/>
            <w:rPrChange w:id="53" w:author="Anila Mehta" w:date="2025-10-14T01:51:00Z">
              <w:rPr>
                <w:i/>
                <w:iCs/>
                <w:color w:val="000000"/>
              </w:rPr>
            </w:rPrChange>
          </w:rPr>
          <w:t>2</w:t>
        </w:r>
        <w:r w:rsidR="00603486">
          <w:rPr>
            <w:i/>
            <w:iCs/>
            <w:color w:val="000000"/>
          </w:rPr>
          <w:t xml:space="preserve"> category (ABG, VBG</w:t>
        </w:r>
      </w:ins>
      <w:ins w:id="54" w:author="Anila Mehta" w:date="2025-10-14T01:51:00Z">
        <w:r w:rsidR="00603486">
          <w:rPr>
            <w:i/>
            <w:iCs/>
            <w:color w:val="000000"/>
          </w:rPr>
          <w:t>).</w:t>
        </w:r>
      </w:ins>
    </w:p>
    <w:p w14:paraId="6B2CFB80" w14:textId="0F6C67A2" w:rsidR="00567668" w:rsidRPr="00E152C9" w:rsidRDefault="00567668" w:rsidP="00E152C9">
      <w:pPr>
        <w:pStyle w:val="NormalWeb"/>
        <w:rPr>
          <w:i/>
          <w:iCs/>
          <w:color w:val="000000"/>
        </w:rPr>
      </w:pPr>
      <w:commentRangeStart w:id="55"/>
      <w:ins w:id="56" w:author="Anila Mehta" w:date="2025-10-14T01:50:00Z">
        <w:r w:rsidRPr="00567668">
          <w:rPr>
            <w:i/>
            <w:iCs/>
            <w:color w:val="000000"/>
          </w:rPr>
          <w:lastRenderedPageBreak/>
          <w:drawing>
            <wp:inline distT="0" distB="0" distL="0" distR="0" wp14:anchorId="4CD05FC8" wp14:editId="04242BA6">
              <wp:extent cx="4191856" cy="2651707"/>
              <wp:effectExtent l="0" t="0" r="0" b="3175"/>
              <wp:docPr id="828662450" name="Picture 1" descr="A graph with colored dots and lines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28662450" name="Picture 1" descr="A graph with colored dots and lines&#10;&#10;Description automatically generated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01191" cy="26576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End w:id="55"/>
      <w:ins w:id="57" w:author="Anila Mehta" w:date="2025-10-14T02:24:00Z">
        <w:r w:rsidR="00E07B0B">
          <w:rPr>
            <w:rStyle w:val="CommentReference"/>
            <w:rFonts w:asciiTheme="minorHAnsi" w:eastAsiaTheme="minorHAnsi" w:hAnsiTheme="minorHAnsi" w:cstheme="minorBidi"/>
            <w:kern w:val="2"/>
            <w14:ligatures w14:val="standardContextual"/>
          </w:rPr>
          <w:commentReference w:id="55"/>
        </w:r>
      </w:ins>
    </w:p>
    <w:p w14:paraId="235292D0" w14:textId="155C53F9" w:rsidR="00BA69BB" w:rsidRPr="00FA515A" w:rsidRDefault="00BA69BB" w:rsidP="00FA515A">
      <w:pPr>
        <w:pStyle w:val="NormalWeb"/>
        <w:rPr>
          <w:color w:val="000000"/>
        </w:rPr>
      </w:pPr>
      <w:r w:rsidRPr="00BA69BB">
        <w:rPr>
          <w:rStyle w:val="Strong"/>
          <w:color w:val="000000"/>
          <w:u w:val="single"/>
        </w:rPr>
        <w:t>Conclusions:</w:t>
      </w:r>
      <w:r>
        <w:rPr>
          <w:color w:val="000000"/>
        </w:rPr>
        <w:br/>
      </w:r>
      <w:r w:rsidR="00E152C9">
        <w:rPr>
          <w:color w:val="000000"/>
        </w:rPr>
        <w:t>In reweighted cohorts, VBG-identified h</w:t>
      </w:r>
      <w:r>
        <w:rPr>
          <w:color w:val="000000"/>
        </w:rPr>
        <w:t xml:space="preserve">ypercapnia </w:t>
      </w:r>
      <w:r w:rsidR="00E152C9">
        <w:rPr>
          <w:color w:val="000000"/>
        </w:rPr>
        <w:t>showed similar</w:t>
      </w:r>
      <w:r>
        <w:rPr>
          <w:color w:val="000000"/>
        </w:rPr>
        <w:t xml:space="preserve"> prognostic associations </w:t>
      </w:r>
      <w:r w:rsidR="009F76B7">
        <w:rPr>
          <w:color w:val="000000"/>
        </w:rPr>
        <w:t xml:space="preserve">similar to ABG for </w:t>
      </w:r>
      <w:r w:rsidR="00AA3AF9">
        <w:rPr>
          <w:color w:val="000000"/>
        </w:rPr>
        <w:t>ventilatory support and mortality.</w:t>
      </w:r>
      <w:r w:rsidR="00E152C9">
        <w:rPr>
          <w:color w:val="000000"/>
        </w:rPr>
        <w:t xml:space="preserve"> VBG results were also similarly associated with subsequent diagnostic labeling, suggesting its use despite current formal criteria. Broader acceptance of VBG-based definitions in billing and device qualification should be considered, pending external validation and associations with post-discharge management. </w:t>
      </w:r>
    </w:p>
    <w:sectPr w:rsidR="00BA69BB" w:rsidRPr="00FA515A" w:rsidSect="006A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ian Locke" w:date="2025-10-08T11:08:00Z" w:initials="BL">
    <w:p w14:paraId="6614D1F8" w14:textId="77777777" w:rsidR="00EB0AC2" w:rsidRDefault="00EB0AC2" w:rsidP="00EB0AC2">
      <w:r>
        <w:rPr>
          <w:rStyle w:val="CommentReference"/>
        </w:rPr>
        <w:annotationRef/>
      </w:r>
      <w:r>
        <w:rPr>
          <w:sz w:val="20"/>
          <w:szCs w:val="20"/>
        </w:rPr>
        <w:t>just shortened and front-loaded the contrast</w:t>
      </w:r>
    </w:p>
  </w:comment>
  <w:comment w:id="1" w:author="Brian Locke" w:date="2025-10-08T11:25:00Z" w:initials="BL">
    <w:p w14:paraId="09AA2297" w14:textId="77777777" w:rsidR="00732D32" w:rsidRDefault="00732D32" w:rsidP="00732D32">
      <w:r>
        <w:rPr>
          <w:rStyle w:val="CommentReference"/>
        </w:rPr>
        <w:annotationRef/>
      </w:r>
      <w:r>
        <w:rPr>
          <w:sz w:val="20"/>
          <w:szCs w:val="20"/>
        </w:rPr>
        <w:t>just shortened some and tried to add a "why does it matter?"</w:t>
      </w:r>
    </w:p>
  </w:comment>
  <w:comment w:id="2" w:author="Brian Locke" w:date="2025-10-08T11:25:00Z" w:initials="BL">
    <w:p w14:paraId="0A4635A3" w14:textId="77777777" w:rsidR="00732D32" w:rsidRDefault="00732D32" w:rsidP="00732D32">
      <w:r>
        <w:rPr>
          <w:rStyle w:val="CommentReference"/>
        </w:rPr>
        <w:annotationRef/>
      </w:r>
      <w:r>
        <w:rPr>
          <w:sz w:val="20"/>
          <w:szCs w:val="20"/>
        </w:rPr>
        <w:t>Just swapped the order around a bit (Exposure, then weighting, then outcomes)</w:t>
      </w:r>
    </w:p>
  </w:comment>
  <w:comment w:id="55" w:author="Anila Mehta" w:date="2025-10-14T02:24:00Z" w:initials="MOU">
    <w:p w14:paraId="7ED2760F" w14:textId="77777777" w:rsidR="00AD3078" w:rsidRDefault="00E07B0B" w:rsidP="0023620B">
      <w:r>
        <w:rPr>
          <w:rStyle w:val="CommentReference"/>
        </w:rPr>
        <w:annotationRef/>
      </w:r>
      <w:r w:rsidR="00AD3078">
        <w:rPr>
          <w:sz w:val="20"/>
          <w:szCs w:val="20"/>
        </w:rPr>
        <w:t>Update graph to exclude calc_abg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14D1F8" w15:done="1"/>
  <w15:commentEx w15:paraId="09AA2297" w15:done="1"/>
  <w15:commentEx w15:paraId="0A4635A3" w15:done="1"/>
  <w15:commentEx w15:paraId="7ED276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0045686" w16cex:dateUtc="2025-10-08T17:08:00Z"/>
  <w16cex:commentExtensible w16cex:durableId="453C3A15" w16cex:dateUtc="2025-10-08T17:25:00Z"/>
  <w16cex:commentExtensible w16cex:durableId="27FE75FD" w16cex:dateUtc="2025-10-08T17:25:00Z"/>
  <w16cex:commentExtensible w16cex:durableId="0DCAC0DC" w16cex:dateUtc="2025-10-14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14D1F8" w16cid:durableId="50045686"/>
  <w16cid:commentId w16cid:paraId="09AA2297" w16cid:durableId="453C3A15"/>
  <w16cid:commentId w16cid:paraId="0A4635A3" w16cid:durableId="27FE75FD"/>
  <w16cid:commentId w16cid:paraId="7ED2760F" w16cid:durableId="0DCAC0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Locke">
    <w15:presenceInfo w15:providerId="AD" w15:userId="S::locke@mountainbiometrics.com::3e92e2c1-cba6-4306-8707-a9c18ff46fa4"/>
  </w15:person>
  <w15:person w15:author="Anila Mehta">
    <w15:presenceInfo w15:providerId="AD" w15:userId="S::u6059663@umail.utah.edu::02185f81-c74b-4c98-90fc-ed67c273a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BB"/>
    <w:rsid w:val="00006BEB"/>
    <w:rsid w:val="00044180"/>
    <w:rsid w:val="000B5A79"/>
    <w:rsid w:val="000D0119"/>
    <w:rsid w:val="000F2EC1"/>
    <w:rsid w:val="00167A49"/>
    <w:rsid w:val="001A2A15"/>
    <w:rsid w:val="001C614A"/>
    <w:rsid w:val="002048EE"/>
    <w:rsid w:val="00246FC7"/>
    <w:rsid w:val="00264F6B"/>
    <w:rsid w:val="002675EA"/>
    <w:rsid w:val="00293582"/>
    <w:rsid w:val="0029620F"/>
    <w:rsid w:val="002C0F26"/>
    <w:rsid w:val="003226AE"/>
    <w:rsid w:val="00334E35"/>
    <w:rsid w:val="003B5E8F"/>
    <w:rsid w:val="003D5D94"/>
    <w:rsid w:val="00404FA4"/>
    <w:rsid w:val="00444422"/>
    <w:rsid w:val="00480608"/>
    <w:rsid w:val="004A44BC"/>
    <w:rsid w:val="00512974"/>
    <w:rsid w:val="00560826"/>
    <w:rsid w:val="00567668"/>
    <w:rsid w:val="00570C22"/>
    <w:rsid w:val="005B1016"/>
    <w:rsid w:val="00603486"/>
    <w:rsid w:val="00630A4A"/>
    <w:rsid w:val="006544FD"/>
    <w:rsid w:val="00684926"/>
    <w:rsid w:val="00696B36"/>
    <w:rsid w:val="006A1A0A"/>
    <w:rsid w:val="00712B5C"/>
    <w:rsid w:val="00732D32"/>
    <w:rsid w:val="00842D49"/>
    <w:rsid w:val="00912422"/>
    <w:rsid w:val="0092438A"/>
    <w:rsid w:val="009A41F4"/>
    <w:rsid w:val="009F76B7"/>
    <w:rsid w:val="00A97944"/>
    <w:rsid w:val="00AA3AF9"/>
    <w:rsid w:val="00AB166B"/>
    <w:rsid w:val="00AC2459"/>
    <w:rsid w:val="00AD3078"/>
    <w:rsid w:val="00B045D4"/>
    <w:rsid w:val="00B40D57"/>
    <w:rsid w:val="00B9014E"/>
    <w:rsid w:val="00BA69BB"/>
    <w:rsid w:val="00BB6D92"/>
    <w:rsid w:val="00C46589"/>
    <w:rsid w:val="00C81C78"/>
    <w:rsid w:val="00CA5324"/>
    <w:rsid w:val="00CC677B"/>
    <w:rsid w:val="00CE29FF"/>
    <w:rsid w:val="00D56AE8"/>
    <w:rsid w:val="00D87197"/>
    <w:rsid w:val="00D96756"/>
    <w:rsid w:val="00DF3A61"/>
    <w:rsid w:val="00E005A5"/>
    <w:rsid w:val="00E0098A"/>
    <w:rsid w:val="00E07B0B"/>
    <w:rsid w:val="00E152C9"/>
    <w:rsid w:val="00E5380C"/>
    <w:rsid w:val="00E776E4"/>
    <w:rsid w:val="00E84485"/>
    <w:rsid w:val="00EB0AC2"/>
    <w:rsid w:val="00EB5CEC"/>
    <w:rsid w:val="00EE5968"/>
    <w:rsid w:val="00F42AE1"/>
    <w:rsid w:val="00FA515A"/>
    <w:rsid w:val="00FD6AE3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5B01D"/>
  <w15:chartTrackingRefBased/>
  <w15:docId w15:val="{B6A2231F-8D66-454C-AC22-6459B436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A69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A69BB"/>
  </w:style>
  <w:style w:type="paragraph" w:customStyle="1" w:styleId="p2">
    <w:name w:val="p2"/>
    <w:basedOn w:val="Normal"/>
    <w:rsid w:val="00BA69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BA69BB"/>
  </w:style>
  <w:style w:type="paragraph" w:styleId="NormalWeb">
    <w:name w:val="Normal (Web)"/>
    <w:basedOn w:val="Normal"/>
    <w:uiPriority w:val="99"/>
    <w:unhideWhenUsed/>
    <w:rsid w:val="00BA69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69BB"/>
    <w:rPr>
      <w:b/>
      <w:bCs/>
    </w:rPr>
  </w:style>
  <w:style w:type="paragraph" w:styleId="Revision">
    <w:name w:val="Revision"/>
    <w:hidden/>
    <w:uiPriority w:val="99"/>
    <w:semiHidden/>
    <w:rsid w:val="00E5380C"/>
  </w:style>
  <w:style w:type="character" w:styleId="CommentReference">
    <w:name w:val="annotation reference"/>
    <w:basedOn w:val="DefaultParagraphFont"/>
    <w:uiPriority w:val="99"/>
    <w:semiHidden/>
    <w:unhideWhenUsed/>
    <w:rsid w:val="00EB0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A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A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Mehta</dc:creator>
  <cp:keywords/>
  <dc:description/>
  <cp:lastModifiedBy>Anila Mehta</cp:lastModifiedBy>
  <cp:revision>2</cp:revision>
  <dcterms:created xsi:type="dcterms:W3CDTF">2025-10-15T10:01:00Z</dcterms:created>
  <dcterms:modified xsi:type="dcterms:W3CDTF">2025-10-15T10:01:00Z</dcterms:modified>
</cp:coreProperties>
</file>